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9A07F" w14:textId="77777777" w:rsidR="006B4D86" w:rsidRPr="006B4D86" w:rsidRDefault="006B4D86" w:rsidP="00824CA5">
      <w:pPr>
        <w:shd w:val="clear" w:color="auto" w:fill="002060"/>
        <w:rPr>
          <w:b/>
        </w:rPr>
      </w:pPr>
      <w:r>
        <w:rPr>
          <w:b/>
        </w:rPr>
        <w:t>RECOMMENDED, IRB APPROVED LANGUAGE</w:t>
      </w:r>
    </w:p>
    <w:p w14:paraId="6CDF148E" w14:textId="77777777" w:rsidR="006B4D86" w:rsidRDefault="006B4D86">
      <w:r>
        <w:t xml:space="preserve">If </w:t>
      </w:r>
      <w:r w:rsidR="001A1644">
        <w:t xml:space="preserve">the study is </w:t>
      </w:r>
      <w:r>
        <w:t xml:space="preserve">using </w:t>
      </w:r>
      <w:proofErr w:type="spellStart"/>
      <w:r>
        <w:t>ClinCard</w:t>
      </w:r>
      <w:proofErr w:type="spellEnd"/>
      <w:r>
        <w:t xml:space="preserve"> to pay </w:t>
      </w:r>
      <w:proofErr w:type="gramStart"/>
      <w:r>
        <w:t>participants</w:t>
      </w:r>
      <w:proofErr w:type="gramEnd"/>
      <w:r>
        <w:t xml:space="preserve"> th</w:t>
      </w:r>
      <w:r w:rsidR="00673C77">
        <w:t>e</w:t>
      </w:r>
      <w:r>
        <w:t xml:space="preserve">n it is required to notify them of this payment method in </w:t>
      </w:r>
      <w:r w:rsidR="00673C77">
        <w:t>the</w:t>
      </w:r>
      <w:r>
        <w:t xml:space="preserve"> ICF Form. The recommended, IRB approved language is:</w:t>
      </w:r>
    </w:p>
    <w:p w14:paraId="1BD7AB96" w14:textId="77777777" w:rsidR="00956D8E" w:rsidRPr="00956D8E" w:rsidRDefault="00956D8E" w:rsidP="00956D8E">
      <w:pPr>
        <w:pStyle w:val="NormalWeb"/>
        <w:spacing w:after="0"/>
        <w:ind w:left="600"/>
        <w:rPr>
          <w:rFonts w:ascii="inherit" w:hAnsi="inherit" w:cs="Arial"/>
          <w:i/>
          <w:iCs/>
          <w:color w:val="000000"/>
          <w:bdr w:val="none" w:sz="0" w:space="0" w:color="auto" w:frame="1"/>
        </w:rPr>
      </w:pPr>
      <w:r w:rsidRPr="00956D8E">
        <w:rPr>
          <w:rFonts w:ascii="inherit" w:hAnsi="inherit" w:cs="Arial"/>
          <w:i/>
          <w:iCs/>
          <w:color w:val="000000"/>
          <w:bdr w:val="none" w:sz="0" w:space="0" w:color="auto" w:frame="1"/>
        </w:rPr>
        <w:t xml:space="preserve">Payment for study visits will be made using a pre-paid debit card, called a </w:t>
      </w:r>
      <w:proofErr w:type="spellStart"/>
      <w:r w:rsidRPr="00956D8E">
        <w:rPr>
          <w:rFonts w:ascii="inherit" w:hAnsi="inherit" w:cs="Arial"/>
          <w:i/>
          <w:iCs/>
          <w:color w:val="000000"/>
          <w:bdr w:val="none" w:sz="0" w:space="0" w:color="auto" w:frame="1"/>
        </w:rPr>
        <w:t>ClinCard</w:t>
      </w:r>
      <w:proofErr w:type="spellEnd"/>
      <w:r w:rsidRPr="00956D8E">
        <w:rPr>
          <w:rFonts w:ascii="inherit" w:hAnsi="inherit" w:cs="Arial"/>
          <w:i/>
          <w:iCs/>
          <w:color w:val="000000"/>
          <w:bdr w:val="none" w:sz="0" w:space="0" w:color="auto" w:frame="1"/>
        </w:rPr>
        <w:t xml:space="preserve">. It works like a bank debit </w:t>
      </w:r>
      <w:proofErr w:type="gramStart"/>
      <w:r w:rsidRPr="00956D8E">
        <w:rPr>
          <w:rFonts w:ascii="inherit" w:hAnsi="inherit" w:cs="Arial"/>
          <w:i/>
          <w:iCs/>
          <w:color w:val="000000"/>
          <w:bdr w:val="none" w:sz="0" w:space="0" w:color="auto" w:frame="1"/>
        </w:rPr>
        <w:t>card</w:t>
      </w:r>
      <w:proofErr w:type="gramEnd"/>
      <w:r w:rsidRPr="00956D8E">
        <w:rPr>
          <w:rFonts w:ascii="inherit" w:hAnsi="inherit" w:cs="Arial"/>
          <w:i/>
          <w:iCs/>
          <w:color w:val="000000"/>
          <w:bdr w:val="none" w:sz="0" w:space="0" w:color="auto" w:frame="1"/>
        </w:rPr>
        <w:t xml:space="preserve"> and you may use the card to purchase goods or services everywhere Debit MasterCard is accepted. You will be given a </w:t>
      </w:r>
      <w:proofErr w:type="spellStart"/>
      <w:r w:rsidRPr="00956D8E">
        <w:rPr>
          <w:rFonts w:ascii="inherit" w:hAnsi="inherit" w:cs="Arial"/>
          <w:i/>
          <w:iCs/>
          <w:color w:val="000000"/>
          <w:bdr w:val="none" w:sz="0" w:space="0" w:color="auto" w:frame="1"/>
        </w:rPr>
        <w:t>ClinCard</w:t>
      </w:r>
      <w:proofErr w:type="spellEnd"/>
      <w:r w:rsidRPr="00956D8E">
        <w:rPr>
          <w:rFonts w:ascii="inherit" w:hAnsi="inherit" w:cs="Arial"/>
          <w:i/>
          <w:iCs/>
          <w:color w:val="000000"/>
          <w:bdr w:val="none" w:sz="0" w:space="0" w:color="auto" w:frame="1"/>
        </w:rPr>
        <w:t xml:space="preserve"> at the beginning of the study. Each time you receive payment for participation in this study, the money will be added to the card, as outlined in the payment schedule above. Details of the debit card system are explained on an additional sheet.</w:t>
      </w:r>
    </w:p>
    <w:p w14:paraId="251F4133" w14:textId="559F3E1E" w:rsidR="006B4D86" w:rsidRPr="00956D8E" w:rsidRDefault="00956D8E" w:rsidP="00956D8E">
      <w:pPr>
        <w:pStyle w:val="NormalWeb"/>
        <w:spacing w:before="0" w:after="0"/>
        <w:ind w:left="600"/>
        <w:rPr>
          <w:rFonts w:ascii="inherit" w:hAnsi="inherit" w:cs="Arial"/>
          <w:i/>
          <w:iCs/>
          <w:color w:val="000000"/>
          <w:bdr w:val="none" w:sz="0" w:space="0" w:color="auto" w:frame="1"/>
        </w:rPr>
      </w:pPr>
      <w:proofErr w:type="spellStart"/>
      <w:r w:rsidRPr="00956D8E">
        <w:rPr>
          <w:rFonts w:ascii="inherit" w:hAnsi="inherit" w:cs="Arial"/>
          <w:i/>
          <w:iCs/>
          <w:color w:val="000000"/>
          <w:bdr w:val="none" w:sz="0" w:space="0" w:color="auto" w:frame="1"/>
        </w:rPr>
        <w:t>ClinCard</w:t>
      </w:r>
      <w:proofErr w:type="spellEnd"/>
      <w:r w:rsidRPr="00956D8E">
        <w:rPr>
          <w:rFonts w:ascii="inherit" w:hAnsi="inherit" w:cs="Arial"/>
          <w:i/>
          <w:iCs/>
          <w:color w:val="000000"/>
          <w:bdr w:val="none" w:sz="0" w:space="0" w:color="auto" w:frame="1"/>
        </w:rPr>
        <w:t xml:space="preserve"> is administered by an outside company called </w:t>
      </w:r>
      <w:proofErr w:type="spellStart"/>
      <w:r w:rsidRPr="00956D8E">
        <w:rPr>
          <w:rFonts w:ascii="inherit" w:hAnsi="inherit" w:cs="Arial"/>
          <w:i/>
          <w:iCs/>
          <w:color w:val="000000"/>
          <w:bdr w:val="none" w:sz="0" w:space="0" w:color="auto" w:frame="1"/>
        </w:rPr>
        <w:t>Greenphire</w:t>
      </w:r>
      <w:proofErr w:type="spellEnd"/>
      <w:r w:rsidRPr="00956D8E">
        <w:rPr>
          <w:rFonts w:ascii="inherit" w:hAnsi="inherit" w:cs="Arial"/>
          <w:i/>
          <w:iCs/>
          <w:color w:val="000000"/>
          <w:bdr w:val="none" w:sz="0" w:space="0" w:color="auto" w:frame="1"/>
        </w:rPr>
        <w:t xml:space="preserve">. </w:t>
      </w:r>
      <w:proofErr w:type="spellStart"/>
      <w:r w:rsidRPr="00956D8E">
        <w:rPr>
          <w:rFonts w:ascii="inherit" w:hAnsi="inherit" w:cs="Arial"/>
          <w:i/>
          <w:iCs/>
          <w:color w:val="000000"/>
          <w:bdr w:val="none" w:sz="0" w:space="0" w:color="auto" w:frame="1"/>
        </w:rPr>
        <w:t>Greenphire</w:t>
      </w:r>
      <w:proofErr w:type="spellEnd"/>
      <w:r w:rsidRPr="00956D8E">
        <w:rPr>
          <w:rFonts w:ascii="inherit" w:hAnsi="inherit" w:cs="Arial"/>
          <w:i/>
          <w:iCs/>
          <w:color w:val="000000"/>
          <w:bdr w:val="none" w:sz="0" w:space="0" w:color="auto" w:frame="1"/>
        </w:rPr>
        <w:t xml:space="preserve"> will be given your name, address, SSN and date of birth. They will use this information only as part of the payment system, and it will not be given or sold to any other company. </w:t>
      </w:r>
      <w:proofErr w:type="spellStart"/>
      <w:r w:rsidRPr="00956D8E">
        <w:rPr>
          <w:rFonts w:ascii="inherit" w:hAnsi="inherit" w:cs="Arial"/>
          <w:i/>
          <w:iCs/>
          <w:color w:val="000000"/>
          <w:bdr w:val="none" w:sz="0" w:space="0" w:color="auto" w:frame="1"/>
        </w:rPr>
        <w:t>Greenphire</w:t>
      </w:r>
      <w:proofErr w:type="spellEnd"/>
      <w:r w:rsidRPr="00956D8E">
        <w:rPr>
          <w:rFonts w:ascii="inherit" w:hAnsi="inherit" w:cs="Arial"/>
          <w:i/>
          <w:iCs/>
          <w:color w:val="000000"/>
          <w:bdr w:val="none" w:sz="0" w:space="0" w:color="auto" w:frame="1"/>
        </w:rPr>
        <w:t xml:space="preserve"> will not receive any information about your health status or the study that you are participating in. Bankcards can only be issued to an adult. If you are younger than 18 years, payments to you may be issued to your parent, in trust for you.</w:t>
      </w:r>
    </w:p>
    <w:p w14:paraId="30CDF918" w14:textId="1B3A09E3" w:rsidR="006B4D86" w:rsidRDefault="006B4D86" w:rsidP="001C60C6">
      <w:pPr>
        <w:pStyle w:val="NormalWeb"/>
        <w:spacing w:before="0" w:beforeAutospacing="0" w:after="0" w:afterAutospacing="0"/>
        <w:ind w:left="600"/>
        <w:textAlignment w:val="baseline"/>
        <w:rPr>
          <w:rStyle w:val="Emphasis"/>
          <w:rFonts w:ascii="inherit" w:hAnsi="inherit" w:cs="Arial"/>
          <w:color w:val="000000"/>
          <w:bdr w:val="none" w:sz="0" w:space="0" w:color="auto" w:frame="1"/>
        </w:rPr>
      </w:pPr>
      <w:r w:rsidRPr="006B4D86">
        <w:rPr>
          <w:rStyle w:val="Emphasis"/>
          <w:rFonts w:ascii="inherit" w:hAnsi="inherit" w:cs="Arial"/>
          <w:color w:val="000000"/>
          <w:bdr w:val="none" w:sz="0" w:space="0" w:color="auto" w:frame="1"/>
        </w:rPr>
        <w:t>(Optional) Reimbursement for travel costs, such as lodging, cab fare, and meals, will be made directly by MUSC via check.</w:t>
      </w:r>
    </w:p>
    <w:p w14:paraId="1C99F826" w14:textId="77777777" w:rsidR="001C60C6" w:rsidRPr="001C60C6" w:rsidRDefault="001C60C6" w:rsidP="001C60C6">
      <w:pPr>
        <w:pStyle w:val="NormalWeb"/>
        <w:spacing w:before="0" w:beforeAutospacing="0" w:after="0" w:afterAutospacing="0"/>
        <w:ind w:left="600"/>
        <w:textAlignment w:val="baseline"/>
        <w:rPr>
          <w:rFonts w:ascii="Arial" w:hAnsi="Arial" w:cs="Arial"/>
          <w:color w:val="000000"/>
        </w:rPr>
      </w:pPr>
    </w:p>
    <w:p w14:paraId="68D9D2A7" w14:textId="77777777" w:rsidR="006B4D86" w:rsidRDefault="006B4D86">
      <w:r>
        <w:t>It is also required to include language notifying participants that payments they receive are considered taxable income by the IRS. The recommended, IRB approved language is:</w:t>
      </w:r>
    </w:p>
    <w:p w14:paraId="07732EB5" w14:textId="77777777" w:rsidR="006B4D86" w:rsidRDefault="006B4D86" w:rsidP="00E6720D">
      <w:pPr>
        <w:pStyle w:val="NormalWeb"/>
        <w:spacing w:before="0" w:beforeAutospacing="0" w:after="0" w:afterAutospacing="0"/>
        <w:ind w:left="600"/>
        <w:textAlignment w:val="baseline"/>
        <w:rPr>
          <w:rStyle w:val="Emphasis"/>
          <w:rFonts w:ascii="inherit" w:hAnsi="inherit" w:cs="Arial"/>
          <w:color w:val="000000"/>
          <w:bdr w:val="none" w:sz="0" w:space="0" w:color="auto" w:frame="1"/>
        </w:rPr>
      </w:pPr>
      <w:r w:rsidRPr="006B4D86">
        <w:rPr>
          <w:rStyle w:val="Emphasis"/>
          <w:rFonts w:ascii="inherit" w:hAnsi="inherit" w:cs="Arial"/>
          <w:color w:val="000000"/>
          <w:bdr w:val="none" w:sz="0" w:space="0" w:color="auto" w:frame="1"/>
        </w:rPr>
        <w:t xml:space="preserve">Payments that you receive from MUSC for participating in a research study are considered taxable income per IRS regulations. Payment types may include, but are not limited </w:t>
      </w:r>
      <w:proofErr w:type="gramStart"/>
      <w:r w:rsidRPr="006B4D86">
        <w:rPr>
          <w:rStyle w:val="Emphasis"/>
          <w:rFonts w:ascii="inherit" w:hAnsi="inherit" w:cs="Arial"/>
          <w:color w:val="000000"/>
          <w:bdr w:val="none" w:sz="0" w:space="0" w:color="auto" w:frame="1"/>
        </w:rPr>
        <w:t>to:</w:t>
      </w:r>
      <w:proofErr w:type="gramEnd"/>
      <w:r w:rsidRPr="006B4D86">
        <w:rPr>
          <w:rStyle w:val="Emphasis"/>
          <w:rFonts w:ascii="inherit" w:hAnsi="inherit" w:cs="Arial"/>
          <w:color w:val="000000"/>
          <w:bdr w:val="none" w:sz="0" w:space="0" w:color="auto" w:frame="1"/>
        </w:rPr>
        <w:t xml:space="preserve"> checks, cash, gift certificates/cards, personal property, and other items of value. If the total amount of payment you receive from MUSC reaches or exceeds $600.00 in a calendar year, you will be issued a Form 1099.</w:t>
      </w:r>
    </w:p>
    <w:p w14:paraId="7FCF93EE" w14:textId="77777777" w:rsidR="00956D8E" w:rsidRDefault="00956D8E" w:rsidP="00E6720D">
      <w:pPr>
        <w:pStyle w:val="NormalWeb"/>
        <w:spacing w:before="0" w:beforeAutospacing="0" w:after="0" w:afterAutospacing="0"/>
        <w:ind w:left="600"/>
        <w:textAlignment w:val="baseline"/>
        <w:rPr>
          <w:rStyle w:val="Emphasis"/>
          <w:rFonts w:ascii="inherit" w:hAnsi="inherit" w:cs="Arial"/>
          <w:color w:val="000000"/>
          <w:bdr w:val="none" w:sz="0" w:space="0" w:color="auto" w:frame="1"/>
        </w:rPr>
      </w:pPr>
    </w:p>
    <w:p w14:paraId="0FD55007" w14:textId="77777777" w:rsidR="00956D8E" w:rsidRDefault="00956D8E" w:rsidP="00E6720D">
      <w:pPr>
        <w:pStyle w:val="NormalWeb"/>
        <w:spacing w:before="0" w:beforeAutospacing="0" w:after="0" w:afterAutospacing="0"/>
        <w:ind w:left="600"/>
        <w:textAlignment w:val="baseline"/>
        <w:rPr>
          <w:rStyle w:val="Emphasis"/>
          <w:rFonts w:ascii="inherit" w:hAnsi="inherit" w:cs="Arial"/>
          <w:color w:val="000000"/>
          <w:bdr w:val="none" w:sz="0" w:space="0" w:color="auto" w:frame="1"/>
        </w:rPr>
      </w:pPr>
    </w:p>
    <w:p w14:paraId="68D387A7" w14:textId="77777777" w:rsidR="00E6720D" w:rsidRPr="00E6720D" w:rsidRDefault="00E6720D" w:rsidP="00E6720D">
      <w:pPr>
        <w:pStyle w:val="NormalWeb"/>
        <w:spacing w:before="0" w:beforeAutospacing="0" w:after="0" w:afterAutospacing="0"/>
        <w:ind w:left="600"/>
        <w:textAlignment w:val="baseline"/>
        <w:rPr>
          <w:rFonts w:ascii="inherit" w:hAnsi="inherit" w:cs="Arial"/>
          <w:i/>
          <w:iCs/>
          <w:color w:val="000000"/>
          <w:bdr w:val="none" w:sz="0" w:space="0" w:color="auto" w:frame="1"/>
        </w:rPr>
      </w:pPr>
    </w:p>
    <w:p w14:paraId="160810D3" w14:textId="77777777" w:rsidR="006B4D86" w:rsidRPr="006B4D86" w:rsidRDefault="006B4D86" w:rsidP="00824CA5">
      <w:pPr>
        <w:shd w:val="clear" w:color="auto" w:fill="002060"/>
        <w:rPr>
          <w:b/>
        </w:rPr>
      </w:pPr>
      <w:r w:rsidRPr="006B4D86">
        <w:rPr>
          <w:b/>
        </w:rPr>
        <w:t xml:space="preserve">REIMBURSEMENTS </w:t>
      </w:r>
      <w:r w:rsidR="00980C91">
        <w:rPr>
          <w:b/>
        </w:rPr>
        <w:t>VS.</w:t>
      </w:r>
      <w:r w:rsidRPr="006B4D86">
        <w:rPr>
          <w:b/>
        </w:rPr>
        <w:t xml:space="preserve"> STIPENDS</w:t>
      </w:r>
    </w:p>
    <w:p w14:paraId="4E7A2B7E" w14:textId="77777777" w:rsidR="006B4D86" w:rsidRDefault="006B4D86">
      <w:r w:rsidRPr="00980C91">
        <w:rPr>
          <w:b/>
        </w:rPr>
        <w:t>Reimbursement</w:t>
      </w:r>
      <w:r>
        <w:t xml:space="preserve"> – repaying a participant for money they have spent on items such as fuel, hotel, </w:t>
      </w:r>
      <w:r w:rsidR="00980C91">
        <w:t xml:space="preserve">and meals. </w:t>
      </w:r>
      <w:r w:rsidR="00980C91" w:rsidRPr="00980C91">
        <w:rPr>
          <w:u w:val="single"/>
        </w:rPr>
        <w:t>Reimbursements are NOT taxable by the IRS.</w:t>
      </w:r>
    </w:p>
    <w:p w14:paraId="3FE36D7F" w14:textId="7BA52240" w:rsidR="004F469C" w:rsidRDefault="006B4D86" w:rsidP="00824CA5">
      <w:r w:rsidRPr="00980C91">
        <w:rPr>
          <w:b/>
        </w:rPr>
        <w:t xml:space="preserve">Stipend </w:t>
      </w:r>
      <w:r>
        <w:t>– a fixed amount to be paid to participant</w:t>
      </w:r>
      <w:r w:rsidR="00980C91">
        <w:t xml:space="preserve">s. </w:t>
      </w:r>
      <w:r w:rsidR="00980C91" w:rsidRPr="00980C91">
        <w:rPr>
          <w:u w:val="single"/>
        </w:rPr>
        <w:t>Stipends ARE taxable by the IRS.</w:t>
      </w:r>
      <w:r w:rsidR="00980C91">
        <w:t xml:space="preserve"> </w:t>
      </w:r>
      <w:r w:rsidR="00980C91" w:rsidRPr="00980C91">
        <w:t xml:space="preserve">If you are </w:t>
      </w:r>
      <w:r w:rsidR="00980C91">
        <w:t>utilizing stipends</w:t>
      </w:r>
      <w:r w:rsidR="00CA0939">
        <w:t>,</w:t>
      </w:r>
      <w:r w:rsidR="00980C91" w:rsidRPr="00980C91">
        <w:t xml:space="preserve"> th</w:t>
      </w:r>
      <w:r w:rsidR="00CA0939">
        <w:t>e</w:t>
      </w:r>
      <w:r w:rsidR="00980C91" w:rsidRPr="00980C91">
        <w:t xml:space="preserve">n </w:t>
      </w:r>
      <w:r w:rsidR="00980C91">
        <w:t>it must</w:t>
      </w:r>
      <w:r w:rsidR="00980C91" w:rsidRPr="00980C91">
        <w:t xml:space="preserve"> state in the ICF that you are </w:t>
      </w:r>
      <w:r w:rsidR="00980C91" w:rsidRPr="00980C91">
        <w:rPr>
          <w:u w:val="single"/>
        </w:rPr>
        <w:t>paying</w:t>
      </w:r>
      <w:r w:rsidR="00CA0939">
        <w:rPr>
          <w:u w:val="single"/>
        </w:rPr>
        <w:t xml:space="preserve"> (compensating)</w:t>
      </w:r>
      <w:r w:rsidR="00980C91" w:rsidRPr="00980C91">
        <w:t xml:space="preserve"> the participant, not reimbursing. </w:t>
      </w:r>
    </w:p>
    <w:p w14:paraId="1274745F" w14:textId="77777777" w:rsidR="00956D8E" w:rsidRDefault="00956D8E" w:rsidP="00824CA5"/>
    <w:p w14:paraId="7A657617" w14:textId="77777777" w:rsidR="00956D8E" w:rsidRDefault="00956D8E" w:rsidP="00824CA5"/>
    <w:p w14:paraId="6D030D5E" w14:textId="77777777" w:rsidR="00956D8E" w:rsidRPr="00824CA5" w:rsidRDefault="00956D8E" w:rsidP="00824CA5"/>
    <w:p w14:paraId="12EC6A1F" w14:textId="77777777" w:rsidR="00980C91" w:rsidRPr="00980C91" w:rsidRDefault="00980C91" w:rsidP="00824CA5">
      <w:pPr>
        <w:shd w:val="clear" w:color="auto" w:fill="002060"/>
        <w:rPr>
          <w:b/>
        </w:rPr>
      </w:pPr>
      <w:r w:rsidRPr="00980C91">
        <w:rPr>
          <w:b/>
        </w:rPr>
        <w:lastRenderedPageBreak/>
        <w:t>REIMBURSEMENTS ALLOWED ON CLINCARD</w:t>
      </w:r>
    </w:p>
    <w:p w14:paraId="067624BF" w14:textId="468CC8CC" w:rsidR="001C60C6" w:rsidRDefault="00980C91" w:rsidP="001C60C6">
      <w:r>
        <w:t xml:space="preserve">The only reimbursement allowed </w:t>
      </w:r>
      <w:r w:rsidR="00CA0939">
        <w:t>through</w:t>
      </w:r>
      <w:r>
        <w:t xml:space="preserve"> </w:t>
      </w:r>
      <w:proofErr w:type="spellStart"/>
      <w:r>
        <w:t>ClinCard</w:t>
      </w:r>
      <w:proofErr w:type="spellEnd"/>
      <w:r>
        <w:t xml:space="preserve"> is </w:t>
      </w:r>
      <w:r w:rsidR="00CA0939">
        <w:t>drive/</w:t>
      </w:r>
      <w:r>
        <w:t xml:space="preserve">mileage. It </w:t>
      </w:r>
      <w:r w:rsidR="00673C77">
        <w:t>must</w:t>
      </w:r>
      <w:r>
        <w:t xml:space="preserve"> be reimbursed at a flat mileage rate and cannot </w:t>
      </w:r>
      <w:r w:rsidR="004F469C">
        <w:t>have</w:t>
      </w:r>
      <w:r>
        <w:t xml:space="preserve"> any threshold</w:t>
      </w:r>
      <w:r w:rsidR="00673C77">
        <w:t xml:space="preserve"> language</w:t>
      </w:r>
      <w:r>
        <w:t>, such as minimum distance or maximum cap</w:t>
      </w:r>
      <w:r w:rsidR="00CA0939">
        <w:t xml:space="preserve"> of reimbursement amount</w:t>
      </w:r>
      <w:r>
        <w:t xml:space="preserve">. </w:t>
      </w:r>
      <w:r w:rsidR="001C60C6">
        <w:t>Examples would include:</w:t>
      </w:r>
    </w:p>
    <w:tbl>
      <w:tblPr>
        <w:tblpPr w:leftFromText="180" w:rightFromText="180" w:vertAnchor="text" w:horzAnchor="margin" w:tblpY="165"/>
        <w:tblW w:w="9380" w:type="dxa"/>
        <w:tblCellMar>
          <w:left w:w="0" w:type="dxa"/>
          <w:right w:w="0" w:type="dxa"/>
        </w:tblCellMar>
        <w:tblLook w:val="04A0" w:firstRow="1" w:lastRow="0" w:firstColumn="1" w:lastColumn="0" w:noHBand="0" w:noVBand="1"/>
      </w:tblPr>
      <w:tblGrid>
        <w:gridCol w:w="4690"/>
        <w:gridCol w:w="4690"/>
      </w:tblGrid>
      <w:tr w:rsidR="00956D8E" w:rsidRPr="00542F56" w14:paraId="312B0E6F" w14:textId="77777777" w:rsidTr="00956D8E">
        <w:trPr>
          <w:trHeight w:val="207"/>
        </w:trPr>
        <w:tc>
          <w:tcPr>
            <w:tcW w:w="4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8396C2" w14:textId="77777777" w:rsidR="00956D8E" w:rsidRPr="00542F56" w:rsidRDefault="00956D8E" w:rsidP="00956D8E">
            <w:pPr>
              <w:spacing w:after="0" w:line="240" w:lineRule="auto"/>
              <w:rPr>
                <w:rFonts w:ascii="Calibri" w:eastAsia="Calibri" w:hAnsi="Calibri" w:cs="Calibri"/>
                <w:sz w:val="20"/>
                <w:szCs w:val="20"/>
              </w:rPr>
            </w:pPr>
            <w:r w:rsidRPr="00542F56">
              <w:rPr>
                <w:rFonts w:ascii="Calibri" w:eastAsia="Calibri" w:hAnsi="Calibri" w:cs="Calibri"/>
                <w:sz w:val="20"/>
                <w:szCs w:val="20"/>
              </w:rPr>
              <w:t>CAN ACCOMMODATE</w:t>
            </w:r>
          </w:p>
        </w:tc>
        <w:tc>
          <w:tcPr>
            <w:tcW w:w="4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3B6F57" w14:textId="77777777" w:rsidR="00956D8E" w:rsidRPr="00542F56" w:rsidRDefault="00956D8E" w:rsidP="00956D8E">
            <w:pPr>
              <w:spacing w:after="0" w:line="240" w:lineRule="auto"/>
              <w:rPr>
                <w:rFonts w:ascii="Calibri" w:eastAsia="Calibri" w:hAnsi="Calibri" w:cs="Calibri"/>
                <w:sz w:val="20"/>
                <w:szCs w:val="20"/>
              </w:rPr>
            </w:pPr>
            <w:r w:rsidRPr="00542F56">
              <w:rPr>
                <w:rFonts w:ascii="Calibri" w:eastAsia="Calibri" w:hAnsi="Calibri" w:cs="Calibri"/>
                <w:sz w:val="20"/>
                <w:szCs w:val="20"/>
              </w:rPr>
              <w:t>CANNOT ACCOMMODATE</w:t>
            </w:r>
          </w:p>
        </w:tc>
      </w:tr>
      <w:tr w:rsidR="00956D8E" w:rsidRPr="00542F56" w14:paraId="65550F8C" w14:textId="77777777" w:rsidTr="00956D8E">
        <w:trPr>
          <w:trHeight w:val="413"/>
        </w:trPr>
        <w:tc>
          <w:tcPr>
            <w:tcW w:w="4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D58A25" w14:textId="77777777" w:rsidR="00956D8E" w:rsidRPr="00542F56" w:rsidRDefault="00956D8E" w:rsidP="00956D8E">
            <w:pPr>
              <w:spacing w:after="0" w:line="240" w:lineRule="auto"/>
              <w:rPr>
                <w:rFonts w:ascii="Calibri" w:eastAsia="Calibri" w:hAnsi="Calibri" w:cs="Calibri"/>
                <w:sz w:val="20"/>
                <w:szCs w:val="20"/>
              </w:rPr>
            </w:pPr>
            <w:r w:rsidRPr="00542F56">
              <w:rPr>
                <w:rFonts w:ascii="Calibri" w:eastAsia="Calibri" w:hAnsi="Calibri" w:cs="Calibri"/>
                <w:sz w:val="20"/>
                <w:szCs w:val="20"/>
              </w:rPr>
              <w:t>“Drive/mileage reimbursement will be provided at the IRS Business rate.”</w:t>
            </w:r>
          </w:p>
        </w:tc>
        <w:tc>
          <w:tcPr>
            <w:tcW w:w="4690" w:type="dxa"/>
            <w:tcBorders>
              <w:top w:val="nil"/>
              <w:left w:val="nil"/>
              <w:bottom w:val="single" w:sz="8" w:space="0" w:color="auto"/>
              <w:right w:val="single" w:sz="8" w:space="0" w:color="auto"/>
            </w:tcBorders>
            <w:tcMar>
              <w:top w:w="0" w:type="dxa"/>
              <w:left w:w="108" w:type="dxa"/>
              <w:bottom w:w="0" w:type="dxa"/>
              <w:right w:w="108" w:type="dxa"/>
            </w:tcMar>
            <w:hideMark/>
          </w:tcPr>
          <w:p w14:paraId="2A2194C5" w14:textId="77777777" w:rsidR="00956D8E" w:rsidRPr="00542F56" w:rsidRDefault="00956D8E" w:rsidP="00956D8E">
            <w:pPr>
              <w:spacing w:after="0" w:line="240" w:lineRule="auto"/>
              <w:rPr>
                <w:rFonts w:ascii="Calibri" w:eastAsia="Calibri" w:hAnsi="Calibri" w:cs="Calibri"/>
                <w:sz w:val="20"/>
                <w:szCs w:val="20"/>
              </w:rPr>
            </w:pPr>
            <w:r w:rsidRPr="00542F56">
              <w:rPr>
                <w:rFonts w:ascii="Calibri" w:eastAsia="Calibri" w:hAnsi="Calibri" w:cs="Calibri"/>
                <w:sz w:val="20"/>
                <w:szCs w:val="20"/>
              </w:rPr>
              <w:t xml:space="preserve">“Drive/mileage reimbursement will be provided at the standard rate.” </w:t>
            </w:r>
          </w:p>
        </w:tc>
      </w:tr>
      <w:tr w:rsidR="00956D8E" w:rsidRPr="00542F56" w14:paraId="793926E5" w14:textId="77777777" w:rsidTr="00956D8E">
        <w:trPr>
          <w:trHeight w:val="621"/>
        </w:trPr>
        <w:tc>
          <w:tcPr>
            <w:tcW w:w="4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4260BA" w14:textId="77777777" w:rsidR="00956D8E" w:rsidRPr="00542F56" w:rsidRDefault="00956D8E" w:rsidP="00956D8E">
            <w:pPr>
              <w:spacing w:after="0" w:line="240" w:lineRule="auto"/>
              <w:rPr>
                <w:rFonts w:ascii="Calibri" w:eastAsia="Calibri" w:hAnsi="Calibri" w:cs="Calibri"/>
                <w:sz w:val="20"/>
                <w:szCs w:val="20"/>
              </w:rPr>
            </w:pPr>
            <w:r w:rsidRPr="00542F56">
              <w:rPr>
                <w:rFonts w:ascii="Calibri" w:eastAsia="Calibri" w:hAnsi="Calibri" w:cs="Calibri"/>
                <w:sz w:val="20"/>
                <w:szCs w:val="20"/>
              </w:rPr>
              <w:t>“Participants traveling over 30 miles will be provided drive/mileage reimbursement for every mile traveled at the IRS Business rate.”</w:t>
            </w:r>
          </w:p>
        </w:tc>
        <w:tc>
          <w:tcPr>
            <w:tcW w:w="4690" w:type="dxa"/>
            <w:tcBorders>
              <w:top w:val="nil"/>
              <w:left w:val="nil"/>
              <w:bottom w:val="single" w:sz="8" w:space="0" w:color="auto"/>
              <w:right w:val="single" w:sz="8" w:space="0" w:color="auto"/>
            </w:tcBorders>
            <w:tcMar>
              <w:top w:w="0" w:type="dxa"/>
              <w:left w:w="108" w:type="dxa"/>
              <w:bottom w:w="0" w:type="dxa"/>
              <w:right w:w="108" w:type="dxa"/>
            </w:tcMar>
            <w:hideMark/>
          </w:tcPr>
          <w:p w14:paraId="0C858482" w14:textId="77777777" w:rsidR="00956D8E" w:rsidRPr="00542F56" w:rsidRDefault="00956D8E" w:rsidP="00956D8E">
            <w:pPr>
              <w:spacing w:after="0" w:line="240" w:lineRule="auto"/>
              <w:rPr>
                <w:rFonts w:ascii="Calibri" w:eastAsia="Calibri" w:hAnsi="Calibri" w:cs="Calibri"/>
                <w:sz w:val="20"/>
                <w:szCs w:val="20"/>
              </w:rPr>
            </w:pPr>
            <w:r w:rsidRPr="00542F56">
              <w:rPr>
                <w:rFonts w:ascii="Calibri" w:eastAsia="Calibri" w:hAnsi="Calibri" w:cs="Calibri"/>
                <w:sz w:val="20"/>
                <w:szCs w:val="20"/>
              </w:rPr>
              <w:t>“Drive/mileage reimbursement will be provided at the IRS Business rate for every mile over 30 miles.”</w:t>
            </w:r>
          </w:p>
        </w:tc>
      </w:tr>
      <w:tr w:rsidR="00956D8E" w:rsidRPr="00542F56" w14:paraId="1A7AD437" w14:textId="77777777" w:rsidTr="00956D8E">
        <w:trPr>
          <w:trHeight w:val="424"/>
        </w:trPr>
        <w:tc>
          <w:tcPr>
            <w:tcW w:w="4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D3" w14:textId="77777777" w:rsidR="00956D8E" w:rsidRPr="00542F56" w:rsidRDefault="00956D8E" w:rsidP="00956D8E">
            <w:pPr>
              <w:spacing w:after="0" w:line="240" w:lineRule="auto"/>
              <w:rPr>
                <w:rFonts w:ascii="Calibri" w:eastAsia="Calibri" w:hAnsi="Calibri" w:cs="Calibri"/>
                <w:sz w:val="20"/>
                <w:szCs w:val="20"/>
              </w:rPr>
            </w:pPr>
          </w:p>
        </w:tc>
        <w:tc>
          <w:tcPr>
            <w:tcW w:w="4690" w:type="dxa"/>
            <w:tcBorders>
              <w:top w:val="nil"/>
              <w:left w:val="nil"/>
              <w:bottom w:val="single" w:sz="8" w:space="0" w:color="auto"/>
              <w:right w:val="single" w:sz="8" w:space="0" w:color="auto"/>
            </w:tcBorders>
            <w:tcMar>
              <w:top w:w="0" w:type="dxa"/>
              <w:left w:w="108" w:type="dxa"/>
              <w:bottom w:w="0" w:type="dxa"/>
              <w:right w:w="108" w:type="dxa"/>
            </w:tcMar>
            <w:hideMark/>
          </w:tcPr>
          <w:p w14:paraId="3A02DA3B" w14:textId="77777777" w:rsidR="00956D8E" w:rsidRPr="00542F56" w:rsidRDefault="00956D8E" w:rsidP="00956D8E">
            <w:pPr>
              <w:spacing w:after="0" w:line="240" w:lineRule="auto"/>
              <w:rPr>
                <w:rFonts w:ascii="Calibri" w:eastAsia="Calibri" w:hAnsi="Calibri" w:cs="Calibri"/>
                <w:sz w:val="20"/>
                <w:szCs w:val="20"/>
              </w:rPr>
            </w:pPr>
            <w:r w:rsidRPr="00542F56">
              <w:rPr>
                <w:rFonts w:ascii="Calibri" w:eastAsia="Calibri" w:hAnsi="Calibri" w:cs="Calibri"/>
                <w:sz w:val="20"/>
                <w:szCs w:val="20"/>
              </w:rPr>
              <w:t>“Drive/mileage reimbursement will be provided at the IRS Business rate up to $200.”</w:t>
            </w:r>
          </w:p>
        </w:tc>
      </w:tr>
    </w:tbl>
    <w:p w14:paraId="1452EAD0" w14:textId="77777777" w:rsidR="00956D8E" w:rsidRDefault="00956D8E" w:rsidP="001C60C6"/>
    <w:p w14:paraId="178FEBAE" w14:textId="77777777" w:rsidR="00956D8E" w:rsidRPr="001C60C6" w:rsidRDefault="00956D8E" w:rsidP="001C60C6"/>
    <w:p w14:paraId="6D5ACD06" w14:textId="58B33309" w:rsidR="001C60C6" w:rsidRPr="001C60C6" w:rsidRDefault="001C60C6" w:rsidP="001C60C6">
      <w:pPr>
        <w:shd w:val="clear" w:color="auto" w:fill="002060"/>
        <w:rPr>
          <w:b/>
        </w:rPr>
      </w:pPr>
      <w:r w:rsidRPr="00980C91">
        <w:rPr>
          <w:b/>
        </w:rPr>
        <w:t>REIMBURSEMENTS ALLOWED ON CLINCARD</w:t>
      </w:r>
      <w:r>
        <w:rPr>
          <w:b/>
        </w:rPr>
        <w:t xml:space="preserve"> </w:t>
      </w:r>
      <w:proofErr w:type="gramStart"/>
      <w:r>
        <w:rPr>
          <w:b/>
        </w:rPr>
        <w:t>cont..</w:t>
      </w:r>
      <w:proofErr w:type="gramEnd"/>
    </w:p>
    <w:p w14:paraId="7EEE9BC3" w14:textId="484B4C6C" w:rsidR="004F469C" w:rsidRDefault="004F469C" w:rsidP="00824CA5">
      <w:r>
        <w:t>All other types of reimbursements</w:t>
      </w:r>
      <w:r w:rsidR="00673C77">
        <w:t xml:space="preserve"> (hotel, meals, </w:t>
      </w:r>
      <w:r w:rsidR="00CA0939">
        <w:t xml:space="preserve">airfare, per diem, </w:t>
      </w:r>
      <w:r w:rsidR="00673C77">
        <w:t>etc.)</w:t>
      </w:r>
      <w:r>
        <w:t xml:space="preserve"> must go through MUSC Accounts Payable and be paid via check per state regulations. </w:t>
      </w:r>
      <w:r w:rsidR="00F6380A" w:rsidRPr="00F6380A">
        <w:rPr>
          <w:u w:val="single"/>
        </w:rPr>
        <w:t>It must state in the ICF that these will be paid via check.</w:t>
      </w:r>
      <w:r w:rsidR="00F6380A">
        <w:t xml:space="preserve"> </w:t>
      </w:r>
    </w:p>
    <w:p w14:paraId="340C88D0" w14:textId="77777777" w:rsidR="00956D8E" w:rsidRDefault="00956D8E" w:rsidP="00824CA5"/>
    <w:p w14:paraId="528F3B09" w14:textId="77777777" w:rsidR="00956D8E" w:rsidRPr="00824CA5" w:rsidRDefault="00956D8E" w:rsidP="00824CA5"/>
    <w:p w14:paraId="22DA74DD" w14:textId="77777777" w:rsidR="006B4D86" w:rsidRDefault="004F469C" w:rsidP="00824CA5">
      <w:pPr>
        <w:shd w:val="clear" w:color="auto" w:fill="002060"/>
        <w:rPr>
          <w:b/>
        </w:rPr>
      </w:pPr>
      <w:r w:rsidRPr="004F469C">
        <w:rPr>
          <w:b/>
        </w:rPr>
        <w:t>BEST PRACTICES</w:t>
      </w:r>
    </w:p>
    <w:p w14:paraId="31C200DA" w14:textId="64FDE821" w:rsidR="004F469C" w:rsidRPr="00F6380A" w:rsidRDefault="004F469C" w:rsidP="004F469C">
      <w:pPr>
        <w:pStyle w:val="ListParagraph"/>
        <w:numPr>
          <w:ilvl w:val="0"/>
          <w:numId w:val="1"/>
        </w:numPr>
        <w:rPr>
          <w:b/>
        </w:rPr>
      </w:pPr>
      <w:r>
        <w:t xml:space="preserve">Review ICF </w:t>
      </w:r>
      <w:r w:rsidR="001C60C6">
        <w:t>p</w:t>
      </w:r>
      <w:r>
        <w:t xml:space="preserve">ayment </w:t>
      </w:r>
      <w:r w:rsidR="001C60C6">
        <w:t>l</w:t>
      </w:r>
      <w:r>
        <w:t>anguage to make sure it is clear and includes all required language.</w:t>
      </w:r>
    </w:p>
    <w:p w14:paraId="7AA7785E" w14:textId="77777777" w:rsidR="00F6380A" w:rsidRPr="00F6380A" w:rsidRDefault="00F6380A" w:rsidP="004F469C">
      <w:pPr>
        <w:pStyle w:val="ListParagraph"/>
        <w:numPr>
          <w:ilvl w:val="0"/>
          <w:numId w:val="1"/>
        </w:numPr>
      </w:pPr>
      <w:r w:rsidRPr="00F6380A">
        <w:t>If providing reimbursements</w:t>
      </w:r>
      <w:r>
        <w:t xml:space="preserve">, make sure payment method is clearly stated. </w:t>
      </w:r>
    </w:p>
    <w:p w14:paraId="05C1B1CD" w14:textId="2575F79A" w:rsidR="004F469C" w:rsidRPr="004F469C" w:rsidRDefault="004F469C" w:rsidP="004F469C">
      <w:pPr>
        <w:pStyle w:val="ListParagraph"/>
        <w:numPr>
          <w:ilvl w:val="0"/>
          <w:numId w:val="1"/>
        </w:numPr>
        <w:rPr>
          <w:b/>
        </w:rPr>
      </w:pPr>
      <w:r>
        <w:t>Ensure that payment amounts and totals are correct</w:t>
      </w:r>
      <w:r w:rsidR="00CA0939">
        <w:t xml:space="preserve"> in the Informed Consent Form.</w:t>
      </w:r>
    </w:p>
    <w:sectPr w:rsidR="004F469C" w:rsidRPr="004F469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79586" w14:textId="77777777" w:rsidR="001272AB" w:rsidRDefault="001272AB" w:rsidP="00980C91">
      <w:pPr>
        <w:spacing w:after="0" w:line="240" w:lineRule="auto"/>
      </w:pPr>
      <w:r>
        <w:separator/>
      </w:r>
    </w:p>
  </w:endnote>
  <w:endnote w:type="continuationSeparator" w:id="0">
    <w:p w14:paraId="06F63933" w14:textId="77777777" w:rsidR="001272AB" w:rsidRDefault="001272AB" w:rsidP="00980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8F8B9" w14:textId="77777777" w:rsidR="004F469C" w:rsidRDefault="004F469C" w:rsidP="009977B2">
    <w:pPr>
      <w:pStyle w:val="Footer"/>
      <w:jc w:val="center"/>
    </w:pPr>
    <w:r>
      <w:t xml:space="preserve">If you have any </w:t>
    </w:r>
    <w:proofErr w:type="gramStart"/>
    <w:r>
      <w:t>questions</w:t>
    </w:r>
    <w:proofErr w:type="gramEnd"/>
    <w:r>
      <w:t xml:space="preserve"> please contact the OCR </w:t>
    </w:r>
    <w:proofErr w:type="spellStart"/>
    <w:r>
      <w:t>ClinCard</w:t>
    </w:r>
    <w:proofErr w:type="spellEnd"/>
    <w:r>
      <w:t xml:space="preserve"> team at </w:t>
    </w:r>
    <w:hyperlink r:id="rId1" w:history="1">
      <w:r w:rsidRPr="005270F7">
        <w:rPr>
          <w:rStyle w:val="Hyperlink"/>
        </w:rPr>
        <w:t>clincard@musc.edu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7B49C" w14:textId="77777777" w:rsidR="001272AB" w:rsidRDefault="001272AB" w:rsidP="00980C91">
      <w:pPr>
        <w:spacing w:after="0" w:line="240" w:lineRule="auto"/>
      </w:pPr>
      <w:r>
        <w:separator/>
      </w:r>
    </w:p>
  </w:footnote>
  <w:footnote w:type="continuationSeparator" w:id="0">
    <w:p w14:paraId="64B03EE1" w14:textId="77777777" w:rsidR="001272AB" w:rsidRDefault="001272AB" w:rsidP="00980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6D589" w14:textId="77777777" w:rsidR="00980C91" w:rsidRPr="004F469C" w:rsidRDefault="00980C91" w:rsidP="004F469C">
    <w:pPr>
      <w:pStyle w:val="Heading1"/>
      <w:rPr>
        <w:b/>
      </w:rPr>
    </w:pPr>
    <w:r w:rsidRPr="004F469C">
      <w:rPr>
        <w:b/>
      </w:rPr>
      <w:t>Informed Consent Form Participant Payment Tip Sheet</w:t>
    </w:r>
  </w:p>
  <w:p w14:paraId="08BA9056" w14:textId="77777777" w:rsidR="00824CA5" w:rsidRDefault="00824C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5C7341"/>
    <w:multiLevelType w:val="hybridMultilevel"/>
    <w:tmpl w:val="A7FCD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1327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D86"/>
    <w:rsid w:val="00053A7E"/>
    <w:rsid w:val="001272AB"/>
    <w:rsid w:val="00146D16"/>
    <w:rsid w:val="001A1644"/>
    <w:rsid w:val="001C60C6"/>
    <w:rsid w:val="002E5229"/>
    <w:rsid w:val="00370794"/>
    <w:rsid w:val="004F469C"/>
    <w:rsid w:val="00542F56"/>
    <w:rsid w:val="00673C77"/>
    <w:rsid w:val="006B4D86"/>
    <w:rsid w:val="00807D2E"/>
    <w:rsid w:val="00824CA5"/>
    <w:rsid w:val="00956D8E"/>
    <w:rsid w:val="00980C91"/>
    <w:rsid w:val="009977B2"/>
    <w:rsid w:val="00AB523D"/>
    <w:rsid w:val="00C04E21"/>
    <w:rsid w:val="00C75CCB"/>
    <w:rsid w:val="00C93304"/>
    <w:rsid w:val="00CA0939"/>
    <w:rsid w:val="00CB39CA"/>
    <w:rsid w:val="00CC0AA4"/>
    <w:rsid w:val="00D303FF"/>
    <w:rsid w:val="00E23C6A"/>
    <w:rsid w:val="00E6720D"/>
    <w:rsid w:val="00F63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581FD"/>
  <w15:chartTrackingRefBased/>
  <w15:docId w15:val="{D5C69318-E26E-436B-AE4D-40D08C65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CA5"/>
  </w:style>
  <w:style w:type="paragraph" w:styleId="Heading1">
    <w:name w:val="heading 1"/>
    <w:basedOn w:val="Normal"/>
    <w:next w:val="Normal"/>
    <w:link w:val="Heading1Char"/>
    <w:uiPriority w:val="9"/>
    <w:qFormat/>
    <w:rsid w:val="00824CA5"/>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24CA5"/>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824CA5"/>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824CA5"/>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824CA5"/>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824CA5"/>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824CA5"/>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824CA5"/>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824CA5"/>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4D8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24CA5"/>
    <w:rPr>
      <w:i/>
      <w:iCs/>
      <w:color w:val="000000" w:themeColor="text1"/>
    </w:rPr>
  </w:style>
  <w:style w:type="paragraph" w:styleId="Header">
    <w:name w:val="header"/>
    <w:basedOn w:val="Normal"/>
    <w:link w:val="HeaderChar"/>
    <w:uiPriority w:val="99"/>
    <w:unhideWhenUsed/>
    <w:rsid w:val="00980C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C91"/>
  </w:style>
  <w:style w:type="paragraph" w:styleId="Footer">
    <w:name w:val="footer"/>
    <w:basedOn w:val="Normal"/>
    <w:link w:val="FooterChar"/>
    <w:uiPriority w:val="99"/>
    <w:unhideWhenUsed/>
    <w:rsid w:val="00980C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C91"/>
  </w:style>
  <w:style w:type="paragraph" w:styleId="ListParagraph">
    <w:name w:val="List Paragraph"/>
    <w:basedOn w:val="Normal"/>
    <w:uiPriority w:val="34"/>
    <w:qFormat/>
    <w:rsid w:val="004F469C"/>
    <w:pPr>
      <w:ind w:left="720"/>
      <w:contextualSpacing/>
    </w:pPr>
  </w:style>
  <w:style w:type="character" w:styleId="Hyperlink">
    <w:name w:val="Hyperlink"/>
    <w:basedOn w:val="DefaultParagraphFont"/>
    <w:uiPriority w:val="99"/>
    <w:unhideWhenUsed/>
    <w:rsid w:val="004F469C"/>
    <w:rPr>
      <w:color w:val="0563C1" w:themeColor="hyperlink"/>
      <w:u w:val="single"/>
    </w:rPr>
  </w:style>
  <w:style w:type="character" w:styleId="UnresolvedMention">
    <w:name w:val="Unresolved Mention"/>
    <w:basedOn w:val="DefaultParagraphFont"/>
    <w:uiPriority w:val="99"/>
    <w:semiHidden/>
    <w:unhideWhenUsed/>
    <w:rsid w:val="004F469C"/>
    <w:rPr>
      <w:color w:val="605E5C"/>
      <w:shd w:val="clear" w:color="auto" w:fill="E1DFDD"/>
    </w:rPr>
  </w:style>
  <w:style w:type="character" w:customStyle="1" w:styleId="Heading1Char">
    <w:name w:val="Heading 1 Char"/>
    <w:basedOn w:val="DefaultParagraphFont"/>
    <w:link w:val="Heading1"/>
    <w:uiPriority w:val="9"/>
    <w:rsid w:val="00824CA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4CA5"/>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824CA5"/>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824CA5"/>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824CA5"/>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824CA5"/>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824CA5"/>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824CA5"/>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824CA5"/>
    <w:rPr>
      <w:b/>
      <w:bCs/>
      <w:i/>
      <w:iCs/>
    </w:rPr>
  </w:style>
  <w:style w:type="paragraph" w:styleId="Caption">
    <w:name w:val="caption"/>
    <w:basedOn w:val="Normal"/>
    <w:next w:val="Normal"/>
    <w:uiPriority w:val="35"/>
    <w:semiHidden/>
    <w:unhideWhenUsed/>
    <w:qFormat/>
    <w:rsid w:val="00824CA5"/>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824CA5"/>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824CA5"/>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824CA5"/>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824CA5"/>
    <w:rPr>
      <w:color w:val="44546A" w:themeColor="text2"/>
      <w:sz w:val="28"/>
      <w:szCs w:val="28"/>
    </w:rPr>
  </w:style>
  <w:style w:type="character" w:styleId="Strong">
    <w:name w:val="Strong"/>
    <w:basedOn w:val="DefaultParagraphFont"/>
    <w:uiPriority w:val="22"/>
    <w:qFormat/>
    <w:rsid w:val="00824CA5"/>
    <w:rPr>
      <w:b/>
      <w:bCs/>
    </w:rPr>
  </w:style>
  <w:style w:type="paragraph" w:styleId="NoSpacing">
    <w:name w:val="No Spacing"/>
    <w:uiPriority w:val="1"/>
    <w:qFormat/>
    <w:rsid w:val="00824CA5"/>
    <w:pPr>
      <w:spacing w:after="0" w:line="240" w:lineRule="auto"/>
    </w:pPr>
  </w:style>
  <w:style w:type="paragraph" w:styleId="Quote">
    <w:name w:val="Quote"/>
    <w:basedOn w:val="Normal"/>
    <w:next w:val="Normal"/>
    <w:link w:val="QuoteChar"/>
    <w:uiPriority w:val="29"/>
    <w:qFormat/>
    <w:rsid w:val="00824CA5"/>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824CA5"/>
    <w:rPr>
      <w:i/>
      <w:iCs/>
      <w:color w:val="7B7B7B" w:themeColor="accent3" w:themeShade="BF"/>
      <w:sz w:val="24"/>
      <w:szCs w:val="24"/>
    </w:rPr>
  </w:style>
  <w:style w:type="paragraph" w:styleId="IntenseQuote">
    <w:name w:val="Intense Quote"/>
    <w:basedOn w:val="Normal"/>
    <w:next w:val="Normal"/>
    <w:link w:val="IntenseQuoteChar"/>
    <w:uiPriority w:val="30"/>
    <w:qFormat/>
    <w:rsid w:val="00824CA5"/>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824CA5"/>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824CA5"/>
    <w:rPr>
      <w:i/>
      <w:iCs/>
      <w:color w:val="595959" w:themeColor="text1" w:themeTint="A6"/>
    </w:rPr>
  </w:style>
  <w:style w:type="character" w:styleId="IntenseEmphasis">
    <w:name w:val="Intense Emphasis"/>
    <w:basedOn w:val="DefaultParagraphFont"/>
    <w:uiPriority w:val="21"/>
    <w:qFormat/>
    <w:rsid w:val="00824CA5"/>
    <w:rPr>
      <w:b/>
      <w:bCs/>
      <w:i/>
      <w:iCs/>
      <w:color w:val="auto"/>
    </w:rPr>
  </w:style>
  <w:style w:type="character" w:styleId="SubtleReference">
    <w:name w:val="Subtle Reference"/>
    <w:basedOn w:val="DefaultParagraphFont"/>
    <w:uiPriority w:val="31"/>
    <w:qFormat/>
    <w:rsid w:val="00824CA5"/>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24CA5"/>
    <w:rPr>
      <w:b/>
      <w:bCs/>
      <w:caps w:val="0"/>
      <w:smallCaps/>
      <w:color w:val="auto"/>
      <w:spacing w:val="0"/>
      <w:u w:val="single"/>
    </w:rPr>
  </w:style>
  <w:style w:type="character" w:styleId="BookTitle">
    <w:name w:val="Book Title"/>
    <w:basedOn w:val="DefaultParagraphFont"/>
    <w:uiPriority w:val="33"/>
    <w:qFormat/>
    <w:rsid w:val="00824CA5"/>
    <w:rPr>
      <w:b/>
      <w:bCs/>
      <w:caps w:val="0"/>
      <w:smallCaps/>
      <w:spacing w:val="0"/>
    </w:rPr>
  </w:style>
  <w:style w:type="paragraph" w:styleId="TOCHeading">
    <w:name w:val="TOC Heading"/>
    <w:basedOn w:val="Heading1"/>
    <w:next w:val="Normal"/>
    <w:uiPriority w:val="39"/>
    <w:semiHidden/>
    <w:unhideWhenUsed/>
    <w:qFormat/>
    <w:rsid w:val="00824CA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7960">
      <w:bodyDiv w:val="1"/>
      <w:marLeft w:val="0"/>
      <w:marRight w:val="0"/>
      <w:marTop w:val="0"/>
      <w:marBottom w:val="0"/>
      <w:divBdr>
        <w:top w:val="none" w:sz="0" w:space="0" w:color="auto"/>
        <w:left w:val="none" w:sz="0" w:space="0" w:color="auto"/>
        <w:bottom w:val="none" w:sz="0" w:space="0" w:color="auto"/>
        <w:right w:val="none" w:sz="0" w:space="0" w:color="auto"/>
      </w:divBdr>
    </w:div>
    <w:div w:id="1293946672">
      <w:bodyDiv w:val="1"/>
      <w:marLeft w:val="0"/>
      <w:marRight w:val="0"/>
      <w:marTop w:val="0"/>
      <w:marBottom w:val="0"/>
      <w:divBdr>
        <w:top w:val="none" w:sz="0" w:space="0" w:color="auto"/>
        <w:left w:val="none" w:sz="0" w:space="0" w:color="auto"/>
        <w:bottom w:val="none" w:sz="0" w:space="0" w:color="auto"/>
        <w:right w:val="none" w:sz="0" w:space="0" w:color="auto"/>
      </w:divBdr>
    </w:div>
    <w:div w:id="1772049321">
      <w:bodyDiv w:val="1"/>
      <w:marLeft w:val="0"/>
      <w:marRight w:val="0"/>
      <w:marTop w:val="0"/>
      <w:marBottom w:val="0"/>
      <w:divBdr>
        <w:top w:val="none" w:sz="0" w:space="0" w:color="auto"/>
        <w:left w:val="none" w:sz="0" w:space="0" w:color="auto"/>
        <w:bottom w:val="none" w:sz="0" w:space="0" w:color="auto"/>
        <w:right w:val="none" w:sz="0" w:space="0" w:color="auto"/>
      </w:divBdr>
    </w:div>
    <w:div w:id="195579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lincard@mu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D89AE-572B-4E63-865E-C6E39BB13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Medical University of South Carolina</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Mellis, Katie</dc:creator>
  <cp:keywords/>
  <dc:description/>
  <cp:lastModifiedBy>Orak, Jessica</cp:lastModifiedBy>
  <cp:revision>2</cp:revision>
  <dcterms:created xsi:type="dcterms:W3CDTF">2025-06-04T16:20:00Z</dcterms:created>
  <dcterms:modified xsi:type="dcterms:W3CDTF">2025-06-04T16:20:00Z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-2073751057</vt:i4>
  </property>
  <property fmtid="{D5CDD505-2E9C-101B-9397-08002B2CF9AE}" pid="4" name="_EmailSubject">
    <vt:lpwstr>Document to add to website</vt:lpwstr>
  </property>
  <property fmtid="{D5CDD505-2E9C-101B-9397-08002B2CF9AE}" pid="5" name="_AuthorEmail">
    <vt:lpwstr>HintonE@musc.edu</vt:lpwstr>
  </property>
  <property fmtid="{D5CDD505-2E9C-101B-9397-08002B2CF9AE}" pid="6" name="_AuthorEmailDisplayName">
    <vt:lpwstr>Dawley, Erin</vt:lpwstr>
  </property>
  <property fmtid="{D5CDD505-2E9C-101B-9397-08002B2CF9AE}" pid="7" name="_ReviewingToolsShownOnce">
    <vt:lpwstr/>
  </property>
</Properties>
</file>