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BD73" w14:textId="45046586" w:rsidR="00263BB8" w:rsidRDefault="00263BB8" w:rsidP="00263BB8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263BB8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Humanitarian Use Devices</w:t>
      </w:r>
      <w: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:</w:t>
      </w:r>
    </w:p>
    <w:p w14:paraId="40B881A9" w14:textId="0A2C99A2" w:rsidR="00263BB8" w:rsidRDefault="00263BB8" w:rsidP="00263BB8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Guidance for </w:t>
      </w:r>
      <w:r w:rsidR="00095A4F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completion </w:t>
      </w:r>
      <w: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of the eIRB application</w:t>
      </w:r>
    </w:p>
    <w:p w14:paraId="11A6B262" w14:textId="77777777" w:rsidR="00263BB8" w:rsidRPr="00263BB8" w:rsidRDefault="00263BB8" w:rsidP="00263BB8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</w:p>
    <w:p w14:paraId="1E79B9E4" w14:textId="3EC546AA" w:rsidR="008A46FD" w:rsidRPr="00263BB8" w:rsidRDefault="00791170">
      <w:pPr>
        <w:rPr>
          <w:rFonts w:ascii="Calibri" w:hAnsi="Calibri" w:cs="Calibri"/>
        </w:rPr>
      </w:pPr>
      <w:r w:rsidRPr="00263BB8">
        <w:rPr>
          <w:rFonts w:ascii="Calibri" w:hAnsi="Calibri" w:cs="Calibri"/>
        </w:rPr>
        <w:t xml:space="preserve">Use of Humanitarian Use Devices (HUDs) must be reviewed and approved by the IRB, even when the HUD is being used for clinical care </w:t>
      </w:r>
      <w:r w:rsidRPr="00263BB8">
        <w:rPr>
          <w:rFonts w:ascii="Calibri" w:hAnsi="Calibri" w:cs="Calibri"/>
          <w:i/>
          <w:iCs/>
        </w:rPr>
        <w:t>only</w:t>
      </w:r>
      <w:r w:rsidR="00D227C9" w:rsidRPr="00263BB8">
        <w:rPr>
          <w:rFonts w:ascii="Calibri" w:hAnsi="Calibri" w:cs="Calibri"/>
          <w:i/>
          <w:iCs/>
        </w:rPr>
        <w:t>.</w:t>
      </w:r>
      <w:r w:rsidR="00D227C9">
        <w:rPr>
          <w:rFonts w:ascii="Calibri" w:hAnsi="Calibri" w:cs="Calibri"/>
          <w:i/>
          <w:iCs/>
        </w:rPr>
        <w:t xml:space="preserve"> </w:t>
      </w:r>
      <w:r w:rsidR="00CB0BAE" w:rsidRPr="00263BB8">
        <w:rPr>
          <w:rFonts w:ascii="Calibri" w:hAnsi="Calibri" w:cs="Calibri"/>
        </w:rPr>
        <w:t xml:space="preserve">The </w:t>
      </w:r>
      <w:r w:rsidRPr="00263BB8">
        <w:rPr>
          <w:rFonts w:ascii="Calibri" w:hAnsi="Calibri" w:cs="Calibri"/>
        </w:rPr>
        <w:t>eIRB application, which was built for human subjects research studies, can b</w:t>
      </w:r>
      <w:r w:rsidR="002F09BD" w:rsidRPr="00263BB8">
        <w:rPr>
          <w:rFonts w:ascii="Calibri" w:hAnsi="Calibri" w:cs="Calibri"/>
        </w:rPr>
        <w:t xml:space="preserve">e difficult to complete for HUDs.  </w:t>
      </w:r>
      <w:r w:rsidR="002F09BD" w:rsidRPr="00D029DE">
        <w:rPr>
          <w:rFonts w:ascii="Calibri" w:hAnsi="Calibri" w:cs="Calibri"/>
          <w:b/>
          <w:bCs/>
        </w:rPr>
        <w:t xml:space="preserve">This guidance document is intended to assist in completion of the eIRB application for HUDs that are </w:t>
      </w:r>
      <w:r w:rsidR="00716F35">
        <w:rPr>
          <w:rFonts w:ascii="Calibri" w:hAnsi="Calibri" w:cs="Calibri"/>
          <w:b/>
          <w:bCs/>
        </w:rPr>
        <w:t>being used solely for the provision of clinical care</w:t>
      </w:r>
      <w:r w:rsidR="002F09BD" w:rsidRPr="00D029DE">
        <w:rPr>
          <w:rFonts w:ascii="Calibri" w:hAnsi="Calibri" w:cs="Calibri"/>
          <w:b/>
          <w:bCs/>
        </w:rPr>
        <w:t>.</w:t>
      </w:r>
      <w:r w:rsidR="00D029DE">
        <w:rPr>
          <w:rFonts w:ascii="Calibri" w:hAnsi="Calibri" w:cs="Calibri"/>
        </w:rPr>
        <w:t xml:space="preserve">  It highlights questions that need to be answered in a potentially unexpected way </w:t>
      </w:r>
      <w:r w:rsidR="00726098">
        <w:rPr>
          <w:rFonts w:ascii="Calibri" w:hAnsi="Calibri" w:cs="Calibri"/>
        </w:rPr>
        <w:t>for these types of applications</w:t>
      </w:r>
      <w:r w:rsidR="00D029DE">
        <w:rPr>
          <w:rFonts w:ascii="Calibri" w:hAnsi="Calibri" w:cs="Calibri"/>
        </w:rPr>
        <w:t>.  It does not address every question in the application.</w:t>
      </w:r>
    </w:p>
    <w:p w14:paraId="76A8F3BA" w14:textId="51ED0E9B" w:rsidR="00095A4F" w:rsidRDefault="00D227C9">
      <w:pPr>
        <w:rPr>
          <w:rFonts w:ascii="Calibri" w:hAnsi="Calibri" w:cs="Calibri"/>
        </w:rPr>
      </w:pPr>
      <w:r w:rsidRPr="00D227C9">
        <w:rPr>
          <w:rFonts w:ascii="Calibri" w:hAnsi="Calibri" w:cs="Calibri"/>
        </w:rPr>
        <w:t xml:space="preserve">Begin the application in eIRB as any other study application would be initiated using the “New Study” button in the left-hand margin </w:t>
      </w:r>
      <w:r>
        <w:rPr>
          <w:rFonts w:ascii="Calibri" w:hAnsi="Calibri" w:cs="Calibri"/>
        </w:rPr>
        <w:t>after logging</w:t>
      </w:r>
      <w:r w:rsidRPr="00D227C9">
        <w:rPr>
          <w:rFonts w:ascii="Calibri" w:hAnsi="Calibri" w:cs="Calibri"/>
        </w:rPr>
        <w:t xml:space="preserve"> into eIRB.  </w:t>
      </w:r>
    </w:p>
    <w:p w14:paraId="5A31B03B" w14:textId="42987084" w:rsidR="00935835" w:rsidRPr="008F12A4" w:rsidRDefault="00935835">
      <w:pPr>
        <w:rPr>
          <w:rFonts w:ascii="Calibri" w:hAnsi="Calibri" w:cs="Calibri"/>
          <w:b/>
          <w:bCs/>
        </w:rPr>
      </w:pPr>
      <w:r w:rsidRPr="008F12A4">
        <w:rPr>
          <w:rFonts w:ascii="Calibri" w:hAnsi="Calibri" w:cs="Calibri"/>
          <w:b/>
          <w:bCs/>
        </w:rPr>
        <w:t>Section 1 – Study Identification Information</w:t>
      </w:r>
    </w:p>
    <w:p w14:paraId="29B52431" w14:textId="7F4F10AF" w:rsidR="00935835" w:rsidRPr="00D227C9" w:rsidRDefault="00935835">
      <w:pPr>
        <w:rPr>
          <w:rFonts w:ascii="Calibri" w:hAnsi="Calibri" w:cs="Calibri"/>
        </w:rPr>
      </w:pPr>
      <w:r>
        <w:rPr>
          <w:rFonts w:ascii="Calibri" w:hAnsi="Calibri" w:cs="Calibri"/>
        </w:rPr>
        <w:t>2.0 – Short Title:  Include HUD at the end of the short title to easily identify the study is a HUD</w:t>
      </w:r>
    </w:p>
    <w:p w14:paraId="08C5566C" w14:textId="74B8F557" w:rsidR="00CB0BAE" w:rsidRPr="00095A4F" w:rsidRDefault="00CB0BAE">
      <w:pPr>
        <w:rPr>
          <w:rFonts w:ascii="Calibri" w:hAnsi="Calibri" w:cs="Calibri"/>
          <w:b/>
          <w:bCs/>
        </w:rPr>
      </w:pPr>
      <w:r w:rsidRPr="00095A4F">
        <w:rPr>
          <w:rFonts w:ascii="Calibri" w:hAnsi="Calibri" w:cs="Calibri"/>
          <w:b/>
          <w:bCs/>
        </w:rPr>
        <w:t>Section 2 – Human Subjects Research</w:t>
      </w:r>
    </w:p>
    <w:p w14:paraId="639A2F5A" w14:textId="6F6428ED" w:rsidR="002F09BD" w:rsidRPr="009E5FF6" w:rsidRDefault="00CB0BAE">
      <w:pPr>
        <w:rPr>
          <w:rFonts w:ascii="Calibri" w:hAnsi="Calibri" w:cs="Calibri"/>
        </w:rPr>
      </w:pPr>
      <w:r w:rsidRPr="009E5FF6">
        <w:rPr>
          <w:rFonts w:ascii="Calibri" w:hAnsi="Calibri" w:cs="Calibri"/>
        </w:rPr>
        <w:t>1</w:t>
      </w:r>
      <w:r w:rsidR="00095A4F" w:rsidRPr="009E5FF6">
        <w:rPr>
          <w:rFonts w:ascii="Calibri" w:hAnsi="Calibri" w:cs="Calibri"/>
        </w:rPr>
        <w:t xml:space="preserve">.0 – </w:t>
      </w:r>
      <w:r w:rsidR="009E5FF6" w:rsidRPr="009E5FF6">
        <w:rPr>
          <w:rFonts w:ascii="Calibri" w:hAnsi="Calibri" w:cs="Calibri"/>
        </w:rPr>
        <w:t>select “no”</w:t>
      </w:r>
      <w:r w:rsidR="009E5FF6" w:rsidRPr="009E5FF6">
        <w:rPr>
          <w:rFonts w:ascii="Calibri" w:hAnsi="Calibri" w:cs="Calibri"/>
        </w:rPr>
        <w:tab/>
      </w:r>
      <w:r w:rsidR="009E5FF6" w:rsidRPr="009E5FF6">
        <w:rPr>
          <w:rFonts w:ascii="Calibri" w:hAnsi="Calibri" w:cs="Calibri"/>
        </w:rPr>
        <w:tab/>
      </w:r>
    </w:p>
    <w:p w14:paraId="7923DCD0" w14:textId="1A2C91C9" w:rsidR="002F09BD" w:rsidRPr="009E5FF6" w:rsidRDefault="009E5FF6">
      <w:pPr>
        <w:rPr>
          <w:rFonts w:ascii="Calibri" w:hAnsi="Calibri" w:cs="Calibri"/>
        </w:rPr>
      </w:pPr>
      <w:r w:rsidRPr="009E5FF6">
        <w:rPr>
          <w:rFonts w:ascii="Calibri" w:hAnsi="Calibri" w:cs="Calibri"/>
        </w:rPr>
        <w:t>2.0 – select "no”</w:t>
      </w:r>
    </w:p>
    <w:p w14:paraId="4BAF66B8" w14:textId="52CDB72A" w:rsidR="009E5FF6" w:rsidRPr="009E5FF6" w:rsidRDefault="009E5FF6">
      <w:pPr>
        <w:rPr>
          <w:rFonts w:ascii="Calibri" w:hAnsi="Calibri" w:cs="Calibri"/>
        </w:rPr>
      </w:pPr>
      <w:r w:rsidRPr="009E5FF6">
        <w:rPr>
          <w:rFonts w:ascii="Calibri" w:hAnsi="Calibri" w:cs="Calibri"/>
        </w:rPr>
        <w:t>3.0 – select “yes”</w:t>
      </w:r>
    </w:p>
    <w:p w14:paraId="0F2994E2" w14:textId="299D4DED" w:rsidR="009E5FF6" w:rsidRPr="009E5FF6" w:rsidRDefault="009E5FF6">
      <w:pPr>
        <w:rPr>
          <w:rFonts w:ascii="Calibri" w:hAnsi="Calibri" w:cs="Calibri"/>
        </w:rPr>
      </w:pPr>
      <w:r w:rsidRPr="009E5FF6">
        <w:rPr>
          <w:rFonts w:ascii="Calibri" w:hAnsi="Calibri" w:cs="Calibri"/>
        </w:rPr>
        <w:t>4.0 – select “no”</w:t>
      </w:r>
    </w:p>
    <w:p w14:paraId="44C4323A" w14:textId="204EA97D" w:rsidR="00D227C9" w:rsidRDefault="00D227C9" w:rsidP="00436EE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Section 4 – Review Type – Study Review Type</w:t>
      </w:r>
    </w:p>
    <w:p w14:paraId="48F654D5" w14:textId="77777777" w:rsidR="00D227C9" w:rsidRPr="00D227C9" w:rsidRDefault="00D227C9" w:rsidP="00436EEF">
      <w:pPr>
        <w:rPr>
          <w:rFonts w:ascii="Calibri" w:hAnsi="Calibri" w:cs="Calibri"/>
        </w:rPr>
      </w:pPr>
      <w:r w:rsidRPr="00D227C9">
        <w:rPr>
          <w:rFonts w:ascii="Calibri" w:hAnsi="Calibri" w:cs="Calibri"/>
        </w:rPr>
        <w:t>Select “Full IRB Review”</w:t>
      </w:r>
    </w:p>
    <w:p w14:paraId="2B1943A1" w14:textId="7CA1097F" w:rsidR="00436EEF" w:rsidRPr="00436EEF" w:rsidRDefault="00436EEF" w:rsidP="00436EEF">
      <w:pPr>
        <w:rPr>
          <w:rFonts w:ascii="Calibri" w:hAnsi="Calibri" w:cs="Calibri"/>
          <w:b/>
          <w:bCs/>
        </w:rPr>
      </w:pPr>
      <w:r w:rsidRPr="00436EEF">
        <w:rPr>
          <w:rFonts w:ascii="Calibri" w:hAnsi="Calibri" w:cs="Calibri"/>
          <w:b/>
          <w:bCs/>
        </w:rPr>
        <w:t>Section 5 – Study Protocol</w:t>
      </w:r>
    </w:p>
    <w:p w14:paraId="2AF3086B" w14:textId="3134C32C" w:rsidR="00436EEF" w:rsidRPr="00436EEF" w:rsidRDefault="00436EEF" w:rsidP="00436EEF">
      <w:p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36EEF">
        <w:rPr>
          <w:rFonts w:ascii="Calibri" w:hAnsi="Calibri" w:cs="Calibri"/>
        </w:rPr>
        <w:t>pload the device manual and any safety sheet</w:t>
      </w:r>
      <w:r w:rsidR="00007056">
        <w:rPr>
          <w:rFonts w:ascii="Calibri" w:hAnsi="Calibri" w:cs="Calibri"/>
        </w:rPr>
        <w:t>s or</w:t>
      </w:r>
      <w:r w:rsidRPr="00436EEF">
        <w:rPr>
          <w:rFonts w:ascii="Calibri" w:hAnsi="Calibri" w:cs="Calibri"/>
        </w:rPr>
        <w:t xml:space="preserve"> brochure</w:t>
      </w:r>
      <w:r w:rsidR="00007056">
        <w:rPr>
          <w:rFonts w:ascii="Calibri" w:hAnsi="Calibri" w:cs="Calibri"/>
        </w:rPr>
        <w:t>s</w:t>
      </w:r>
      <w:r w:rsidR="00716F35">
        <w:rPr>
          <w:rFonts w:ascii="Calibri" w:hAnsi="Calibri" w:cs="Calibri"/>
        </w:rPr>
        <w:t>.</w:t>
      </w:r>
    </w:p>
    <w:p w14:paraId="46DE7549" w14:textId="4FBF5788" w:rsidR="00436EEF" w:rsidRPr="00436EEF" w:rsidRDefault="00436EEF" w:rsidP="00436EEF">
      <w:pPr>
        <w:rPr>
          <w:rFonts w:ascii="Calibri" w:hAnsi="Calibri" w:cs="Calibri"/>
          <w:b/>
          <w:bCs/>
        </w:rPr>
      </w:pPr>
      <w:r w:rsidRPr="00436EEF">
        <w:rPr>
          <w:rFonts w:ascii="Calibri" w:hAnsi="Calibri" w:cs="Calibri"/>
          <w:b/>
          <w:bCs/>
        </w:rPr>
        <w:t xml:space="preserve">Section 6 – Study Populations </w:t>
      </w:r>
      <w:r w:rsidR="00D227C9">
        <w:rPr>
          <w:rFonts w:ascii="Calibri" w:hAnsi="Calibri" w:cs="Calibri"/>
          <w:b/>
          <w:bCs/>
        </w:rPr>
        <w:t xml:space="preserve">– </w:t>
      </w:r>
      <w:r w:rsidRPr="00095A4F">
        <w:rPr>
          <w:rFonts w:ascii="Calibri" w:hAnsi="Calibri" w:cs="Calibri"/>
          <w:b/>
          <w:bCs/>
        </w:rPr>
        <w:t xml:space="preserve">Study Subjects </w:t>
      </w:r>
    </w:p>
    <w:p w14:paraId="6039C4E9" w14:textId="6307E4E7" w:rsidR="00F9685E" w:rsidRDefault="00436EEF" w:rsidP="00436E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1.0 – </w:t>
      </w:r>
      <w:r w:rsidR="00D227C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nclude the number of patients </w:t>
      </w:r>
      <w:r w:rsidR="00F9685E">
        <w:rPr>
          <w:rFonts w:ascii="Calibri" w:hAnsi="Calibri" w:cs="Calibri"/>
        </w:rPr>
        <w:t>the device will be used on</w:t>
      </w:r>
      <w:r w:rsidR="00D227C9">
        <w:rPr>
          <w:rFonts w:ascii="Calibri" w:hAnsi="Calibri" w:cs="Calibri"/>
        </w:rPr>
        <w:t>.</w:t>
      </w:r>
    </w:p>
    <w:p w14:paraId="29407876" w14:textId="37B201FC" w:rsidR="00095A4F" w:rsidRDefault="00436EEF" w:rsidP="00436EEF">
      <w:pPr>
        <w:rPr>
          <w:rFonts w:ascii="Calibri" w:hAnsi="Calibri" w:cs="Calibri"/>
        </w:rPr>
      </w:pPr>
      <w:r w:rsidRPr="00436EEF">
        <w:rPr>
          <w:rFonts w:ascii="Calibri" w:hAnsi="Calibri" w:cs="Calibri"/>
        </w:rPr>
        <w:t>3.0</w:t>
      </w:r>
      <w:r w:rsidR="00F9685E">
        <w:rPr>
          <w:rFonts w:ascii="Calibri" w:hAnsi="Calibri" w:cs="Calibri"/>
        </w:rPr>
        <w:t xml:space="preserve"> –</w:t>
      </w:r>
      <w:r w:rsidRPr="00436EEF">
        <w:rPr>
          <w:rFonts w:ascii="Calibri" w:hAnsi="Calibri" w:cs="Calibri"/>
        </w:rPr>
        <w:t xml:space="preserve"> </w:t>
      </w:r>
      <w:r w:rsidR="00D227C9">
        <w:rPr>
          <w:rFonts w:ascii="Calibri" w:hAnsi="Calibri" w:cs="Calibri"/>
        </w:rPr>
        <w:t>S</w:t>
      </w:r>
      <w:r>
        <w:rPr>
          <w:rFonts w:ascii="Calibri" w:hAnsi="Calibri" w:cs="Calibri"/>
        </w:rPr>
        <w:t>tate that the project does not</w:t>
      </w:r>
      <w:r w:rsidRPr="00436EEF">
        <w:rPr>
          <w:rFonts w:ascii="Calibri" w:hAnsi="Calibri" w:cs="Calibri"/>
        </w:rPr>
        <w:t xml:space="preserve"> involve research and then state where the clinical procedure will take place. </w:t>
      </w:r>
    </w:p>
    <w:p w14:paraId="58A41F8D" w14:textId="10091E77" w:rsidR="00436EEF" w:rsidRDefault="00F9685E" w:rsidP="00436EEF">
      <w:pPr>
        <w:rPr>
          <w:rFonts w:ascii="Calibri" w:hAnsi="Calibri" w:cs="Calibri"/>
        </w:rPr>
      </w:pPr>
      <w:r>
        <w:rPr>
          <w:rFonts w:ascii="Calibri" w:hAnsi="Calibri" w:cs="Calibri"/>
        </w:rPr>
        <w:t>7.0 – 9.0 – D</w:t>
      </w:r>
      <w:r w:rsidR="00436EEF" w:rsidRPr="00436EEF">
        <w:rPr>
          <w:rFonts w:ascii="Calibri" w:hAnsi="Calibri" w:cs="Calibri"/>
        </w:rPr>
        <w:t>escrib</w:t>
      </w:r>
      <w:r w:rsidR="00095A4F">
        <w:rPr>
          <w:rFonts w:ascii="Calibri" w:hAnsi="Calibri" w:cs="Calibri"/>
        </w:rPr>
        <w:t>e</w:t>
      </w:r>
      <w:r w:rsidR="00436EEF" w:rsidRPr="00436EEF">
        <w:rPr>
          <w:rFonts w:ascii="Calibri" w:hAnsi="Calibri" w:cs="Calibri"/>
        </w:rPr>
        <w:t xml:space="preserve"> the clinical population of patients the device w</w:t>
      </w:r>
      <w:r w:rsidR="00095A4F">
        <w:rPr>
          <w:rFonts w:ascii="Calibri" w:hAnsi="Calibri" w:cs="Calibri"/>
        </w:rPr>
        <w:t>ill</w:t>
      </w:r>
      <w:r w:rsidR="00436EEF" w:rsidRPr="00436EEF">
        <w:rPr>
          <w:rFonts w:ascii="Calibri" w:hAnsi="Calibri" w:cs="Calibri"/>
        </w:rPr>
        <w:t xml:space="preserve"> be used on</w:t>
      </w:r>
      <w:r w:rsidR="00095A4F">
        <w:rPr>
          <w:rFonts w:ascii="Calibri" w:hAnsi="Calibri" w:cs="Calibri"/>
        </w:rPr>
        <w:t>.</w:t>
      </w:r>
      <w:r w:rsidR="00436EEF" w:rsidRPr="00436EEF">
        <w:rPr>
          <w:rFonts w:ascii="Calibri" w:hAnsi="Calibri" w:cs="Calibri"/>
        </w:rPr>
        <w:t xml:space="preserve"> </w:t>
      </w:r>
      <w:r w:rsidR="00D227C9">
        <w:rPr>
          <w:rFonts w:ascii="Calibri" w:hAnsi="Calibri" w:cs="Calibri"/>
        </w:rPr>
        <w:t xml:space="preserve"> </w:t>
      </w:r>
      <w:r w:rsidR="00436EEF" w:rsidRPr="00436EEF">
        <w:rPr>
          <w:rFonts w:ascii="Calibri" w:hAnsi="Calibri" w:cs="Calibri"/>
        </w:rPr>
        <w:t>For item 9.0 specifically, focus on what clinical scenario would result in the use of this device.</w:t>
      </w:r>
      <w:r w:rsidR="00007056">
        <w:rPr>
          <w:rFonts w:ascii="Calibri" w:hAnsi="Calibri" w:cs="Calibri"/>
        </w:rPr>
        <w:t xml:space="preserve">  </w:t>
      </w:r>
      <w:r w:rsidR="00990F68">
        <w:rPr>
          <w:rFonts w:ascii="Calibri" w:hAnsi="Calibri" w:cs="Calibri"/>
        </w:rPr>
        <w:t>This is often the indication for the device.  “</w:t>
      </w:r>
      <w:r w:rsidR="00007056">
        <w:rPr>
          <w:rFonts w:ascii="Calibri" w:hAnsi="Calibri" w:cs="Calibri"/>
        </w:rPr>
        <w:t>E</w:t>
      </w:r>
      <w:r w:rsidR="00990F68">
        <w:rPr>
          <w:rFonts w:ascii="Calibri" w:hAnsi="Calibri" w:cs="Calibri"/>
        </w:rPr>
        <w:t xml:space="preserve">xclusions” may be contraindications for the </w:t>
      </w:r>
      <w:r w:rsidR="00007056">
        <w:rPr>
          <w:rFonts w:ascii="Calibri" w:hAnsi="Calibri" w:cs="Calibri"/>
        </w:rPr>
        <w:t xml:space="preserve">use of the </w:t>
      </w:r>
      <w:r w:rsidR="00990F68">
        <w:rPr>
          <w:rFonts w:ascii="Calibri" w:hAnsi="Calibri" w:cs="Calibri"/>
        </w:rPr>
        <w:t>device</w:t>
      </w:r>
      <w:r w:rsidR="00007056">
        <w:rPr>
          <w:rFonts w:ascii="Calibri" w:hAnsi="Calibri" w:cs="Calibri"/>
        </w:rPr>
        <w:t>.</w:t>
      </w:r>
    </w:p>
    <w:p w14:paraId="4E646934" w14:textId="37B3B9AC" w:rsidR="00935835" w:rsidRPr="008F12A4" w:rsidRDefault="00935835" w:rsidP="00436EEF">
      <w:pPr>
        <w:rPr>
          <w:rFonts w:ascii="Calibri" w:hAnsi="Calibri" w:cs="Calibri"/>
          <w:b/>
          <w:bCs/>
        </w:rPr>
      </w:pPr>
      <w:r w:rsidRPr="008F12A4">
        <w:rPr>
          <w:rFonts w:ascii="Calibri" w:hAnsi="Calibri" w:cs="Calibri"/>
          <w:b/>
          <w:bCs/>
        </w:rPr>
        <w:t>Section 7 – Funding</w:t>
      </w:r>
    </w:p>
    <w:p w14:paraId="5C643088" w14:textId="350866E5" w:rsidR="00935835" w:rsidRPr="00436EEF" w:rsidRDefault="00935835" w:rsidP="00436EEF">
      <w:pPr>
        <w:rPr>
          <w:rFonts w:ascii="Calibri" w:hAnsi="Calibri" w:cs="Calibri"/>
        </w:rPr>
      </w:pPr>
      <w:r>
        <w:rPr>
          <w:rFonts w:ascii="Calibri" w:hAnsi="Calibri" w:cs="Calibri"/>
        </w:rPr>
        <w:t>Funding and Sponsorship – Study Costs Smartform - Include who is paying for the device.</w:t>
      </w:r>
    </w:p>
    <w:p w14:paraId="41C82DC8" w14:textId="0F846D15" w:rsidR="00436EEF" w:rsidRPr="00F9685E" w:rsidRDefault="00436EEF">
      <w:pPr>
        <w:rPr>
          <w:rFonts w:ascii="Calibri" w:hAnsi="Calibri" w:cs="Calibri"/>
          <w:b/>
          <w:bCs/>
        </w:rPr>
      </w:pPr>
      <w:r w:rsidRPr="00F9685E">
        <w:rPr>
          <w:rFonts w:ascii="Calibri" w:hAnsi="Calibri" w:cs="Calibri"/>
          <w:b/>
          <w:bCs/>
        </w:rPr>
        <w:lastRenderedPageBreak/>
        <w:t xml:space="preserve">Section 8 – Application Checklist </w:t>
      </w:r>
    </w:p>
    <w:p w14:paraId="015019D5" w14:textId="20024DCA" w:rsidR="00436EEF" w:rsidRDefault="00436EEF">
      <w:pPr>
        <w:rPr>
          <w:rFonts w:ascii="Calibri" w:hAnsi="Calibri" w:cs="Calibri"/>
        </w:rPr>
      </w:pPr>
      <w:r>
        <w:rPr>
          <w:rFonts w:ascii="Calibri" w:hAnsi="Calibri" w:cs="Calibri"/>
        </w:rPr>
        <w:t>“Devices” should be the only selected item in the application checklist</w:t>
      </w:r>
      <w:r w:rsidR="00821C3A">
        <w:rPr>
          <w:rFonts w:ascii="Calibri" w:hAnsi="Calibri" w:cs="Calibri"/>
        </w:rPr>
        <w:t>.</w:t>
      </w:r>
    </w:p>
    <w:p w14:paraId="0A17C768" w14:textId="7F08162A" w:rsidR="00F9685E" w:rsidRPr="00095A4F" w:rsidRDefault="00F9685E">
      <w:pPr>
        <w:rPr>
          <w:rFonts w:ascii="Calibri" w:hAnsi="Calibri" w:cs="Calibri"/>
          <w:b/>
          <w:bCs/>
        </w:rPr>
      </w:pPr>
      <w:r w:rsidRPr="00095A4F">
        <w:rPr>
          <w:rFonts w:ascii="Calibri" w:hAnsi="Calibri" w:cs="Calibri"/>
          <w:b/>
          <w:bCs/>
        </w:rPr>
        <w:t>Section 9 – Other Study Specifics</w:t>
      </w:r>
    </w:p>
    <w:p w14:paraId="6FAE909B" w14:textId="06CB89EC" w:rsidR="00F9685E" w:rsidRPr="00095A4F" w:rsidRDefault="00F9685E">
      <w:pPr>
        <w:rPr>
          <w:rFonts w:ascii="Calibri" w:hAnsi="Calibri" w:cs="Calibri"/>
          <w:b/>
          <w:bCs/>
        </w:rPr>
      </w:pPr>
      <w:r w:rsidRPr="00095A4F">
        <w:rPr>
          <w:rFonts w:ascii="Calibri" w:hAnsi="Calibri" w:cs="Calibri"/>
          <w:b/>
          <w:bCs/>
        </w:rPr>
        <w:t>Study Procedures</w:t>
      </w:r>
    </w:p>
    <w:p w14:paraId="3C44F45F" w14:textId="1EACCBBC" w:rsidR="00095A4F" w:rsidRDefault="00095A4F" w:rsidP="00095A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both questions here, answer to indicate that this question is not applicable as the use of the HUD is not part of a research study. </w:t>
      </w:r>
    </w:p>
    <w:p w14:paraId="27F274BB" w14:textId="3BF8806E" w:rsidR="00095A4F" w:rsidRDefault="00095A4F" w:rsidP="00095A4F">
      <w:pPr>
        <w:rPr>
          <w:rFonts w:ascii="Calibri" w:hAnsi="Calibri" w:cs="Calibri"/>
          <w:b/>
          <w:bCs/>
        </w:rPr>
      </w:pPr>
      <w:r w:rsidRPr="00095A4F">
        <w:rPr>
          <w:rFonts w:ascii="Calibri" w:hAnsi="Calibri" w:cs="Calibri"/>
          <w:b/>
          <w:bCs/>
        </w:rPr>
        <w:t xml:space="preserve">Study Risks and Precautions </w:t>
      </w:r>
    </w:p>
    <w:p w14:paraId="30C56226" w14:textId="087E94E2" w:rsidR="00095A4F" w:rsidRPr="00D227C9" w:rsidRDefault="00095A4F" w:rsidP="00095A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227C9">
        <w:rPr>
          <w:rFonts w:ascii="Calibri" w:hAnsi="Calibri" w:cs="Calibri"/>
        </w:rPr>
        <w:t xml:space="preserve">– </w:t>
      </w:r>
      <w:r w:rsidR="00D227C9">
        <w:rPr>
          <w:rFonts w:ascii="Calibri" w:hAnsi="Calibri" w:cs="Calibri"/>
        </w:rPr>
        <w:t>L</w:t>
      </w:r>
      <w:r w:rsidRPr="00D227C9">
        <w:rPr>
          <w:rFonts w:ascii="Calibri" w:hAnsi="Calibri" w:cs="Calibri"/>
        </w:rPr>
        <w:t xml:space="preserve">ist the risks outlined for the device. </w:t>
      </w:r>
    </w:p>
    <w:p w14:paraId="667E03AB" w14:textId="709890A8" w:rsidR="00095A4F" w:rsidRDefault="00095A4F" w:rsidP="00095A4F">
      <w:pPr>
        <w:rPr>
          <w:rFonts w:ascii="Calibri" w:hAnsi="Calibri" w:cs="Calibri"/>
        </w:rPr>
      </w:pPr>
      <w:r w:rsidRPr="00D227C9">
        <w:rPr>
          <w:rFonts w:ascii="Calibri" w:hAnsi="Calibri" w:cs="Calibri"/>
        </w:rPr>
        <w:t xml:space="preserve">2.0 and 3.0 </w:t>
      </w:r>
      <w:r w:rsidR="00D227C9">
        <w:rPr>
          <w:rFonts w:ascii="Calibri" w:hAnsi="Calibri" w:cs="Calibri"/>
        </w:rPr>
        <w:t>– N</w:t>
      </w:r>
      <w:r w:rsidRPr="00D227C9">
        <w:rPr>
          <w:rFonts w:ascii="Calibri" w:hAnsi="Calibri" w:cs="Calibri"/>
        </w:rPr>
        <w:t>ote that patients will be followed/monitored after the procedure but that this is not a research study, so no data or safety monitoring plans are being utilized. </w:t>
      </w:r>
    </w:p>
    <w:p w14:paraId="548737E4" w14:textId="360FEE7C" w:rsidR="00236090" w:rsidRDefault="00171E2E" w:rsidP="00095A4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Potential Benefits</w:t>
      </w:r>
    </w:p>
    <w:p w14:paraId="0E4297FC" w14:textId="55108414" w:rsidR="00171E2E" w:rsidRDefault="00171E2E" w:rsidP="00171E2E">
      <w:pPr>
        <w:rPr>
          <w:rFonts w:ascii="Calibri" w:hAnsi="Calibri" w:cs="Calibri"/>
        </w:rPr>
      </w:pPr>
      <w:r w:rsidRPr="00171E2E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0 </w:t>
      </w:r>
      <w:r w:rsidRPr="00821C3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Answer based on clinical benefits.  We would expect this to be “yes” if it has been deemed appropriate for a HUD to be used clinically.  </w:t>
      </w:r>
    </w:p>
    <w:p w14:paraId="49052862" w14:textId="0F82A6BE" w:rsidR="00171E2E" w:rsidRPr="00821C3A" w:rsidRDefault="00171E2E" w:rsidP="00171E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2.0 – </w:t>
      </w:r>
      <w:r w:rsidR="00007056">
        <w:rPr>
          <w:rFonts w:ascii="Calibri" w:hAnsi="Calibri" w:cs="Calibri"/>
        </w:rPr>
        <w:t>State that this is a HUD</w:t>
      </w:r>
      <w:r>
        <w:rPr>
          <w:rFonts w:ascii="Calibri" w:hAnsi="Calibri" w:cs="Calibri"/>
        </w:rPr>
        <w:t xml:space="preserve">.  </w:t>
      </w:r>
    </w:p>
    <w:p w14:paraId="0C2F3498" w14:textId="65251B8B" w:rsidR="00FC4DB3" w:rsidRDefault="00FC4DB3" w:rsidP="00FC4DB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Section 11 – Consent Process </w:t>
      </w:r>
    </w:p>
    <w:p w14:paraId="3540BBF6" w14:textId="2A8990AA" w:rsidR="00FC4DB3" w:rsidRPr="00FC4DB3" w:rsidRDefault="00FC4DB3" w:rsidP="00FC4DB3">
      <w:pPr>
        <w:rPr>
          <w:rFonts w:ascii="Calibri" w:hAnsi="Calibri" w:cs="Calibri"/>
          <w:b/>
          <w:bCs/>
        </w:rPr>
      </w:pPr>
      <w:r w:rsidRPr="00FC4DB3">
        <w:rPr>
          <w:rFonts w:ascii="Calibri" w:hAnsi="Calibri" w:cs="Calibri"/>
        </w:rPr>
        <w:t>1.0 – Answer “yes” to question 1.0</w:t>
      </w:r>
      <w:r>
        <w:rPr>
          <w:rFonts w:ascii="Calibri" w:hAnsi="Calibri" w:cs="Calibri"/>
        </w:rPr>
        <w:t>,</w:t>
      </w:r>
      <w:r w:rsidRPr="00FC4DB3">
        <w:rPr>
          <w:rFonts w:ascii="Calibri" w:hAnsi="Calibri" w:cs="Calibri"/>
        </w:rPr>
        <w:t xml:space="preserve"> but then state in responses in subsequent sections that research consent will not be obtained but that a clinical consent form will be provided. </w:t>
      </w:r>
    </w:p>
    <w:p w14:paraId="54AD70FD" w14:textId="710DCF54" w:rsidR="00FC4DB3" w:rsidRPr="00FC4DB3" w:rsidRDefault="00FC4DB3" w:rsidP="00095A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7.0 – Upload the clinical consent to treat </w:t>
      </w:r>
      <w:r w:rsidR="00730610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the particular HUD</w:t>
      </w:r>
      <w:r w:rsidR="00D029DE">
        <w:rPr>
          <w:rFonts w:ascii="Calibri" w:hAnsi="Calibri" w:cs="Calibri"/>
        </w:rPr>
        <w:t>.</w:t>
      </w:r>
    </w:p>
    <w:p w14:paraId="6FA6B563" w14:textId="77777777" w:rsidR="00FC4DB3" w:rsidRDefault="00FC4DB3" w:rsidP="00095A4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Section 12 – Privacy </w:t>
      </w:r>
    </w:p>
    <w:p w14:paraId="4AAD27AB" w14:textId="77777777" w:rsidR="00FC4DB3" w:rsidRDefault="00FC4DB3" w:rsidP="00095A4F">
      <w:pPr>
        <w:rPr>
          <w:rFonts w:ascii="Calibri" w:hAnsi="Calibri" w:cs="Calibri"/>
          <w:b/>
          <w:bCs/>
        </w:rPr>
      </w:pPr>
      <w:r w:rsidRPr="00FC4DB3">
        <w:rPr>
          <w:rFonts w:ascii="Calibri" w:hAnsi="Calibri" w:cs="Calibri"/>
          <w:b/>
          <w:bCs/>
        </w:rPr>
        <w:t>Privacy and Confidentiality</w:t>
      </w:r>
    </w:p>
    <w:p w14:paraId="63AC1100" w14:textId="09FDFF4B" w:rsidR="008E5D64" w:rsidRPr="003256E3" w:rsidRDefault="008E5D64" w:rsidP="008E5D64">
      <w:pPr>
        <w:rPr>
          <w:rFonts w:ascii="Calibri" w:hAnsi="Calibri" w:cs="Calibri"/>
        </w:rPr>
      </w:pPr>
      <w:r w:rsidRPr="003256E3">
        <w:rPr>
          <w:rFonts w:ascii="Calibri" w:hAnsi="Calibri" w:cs="Calibri"/>
        </w:rPr>
        <w:t>1.0 – Answer</w:t>
      </w:r>
      <w:r w:rsidRPr="003256E3">
        <w:rPr>
          <w:rFonts w:ascii="Calibri" w:hAnsi="Calibri" w:cs="Calibri"/>
          <w:b/>
          <w:bCs/>
        </w:rPr>
        <w:t xml:space="preserve"> </w:t>
      </w:r>
      <w:r w:rsidRPr="003256E3">
        <w:rPr>
          <w:rFonts w:ascii="Calibri" w:hAnsi="Calibri" w:cs="Calibri"/>
        </w:rPr>
        <w:t>again that no research data is being collected because this is not a research study</w:t>
      </w:r>
      <w:r w:rsidR="003256E3" w:rsidRPr="003256E3">
        <w:rPr>
          <w:rFonts w:ascii="Calibri" w:hAnsi="Calibri" w:cs="Calibri"/>
        </w:rPr>
        <w:t xml:space="preserve">.  </w:t>
      </w:r>
      <w:r w:rsidRPr="003256E3">
        <w:rPr>
          <w:rFonts w:ascii="Calibri" w:hAnsi="Calibri" w:cs="Calibri"/>
        </w:rPr>
        <w:t>State that e</w:t>
      </w:r>
      <w:r w:rsidR="00FC4DB3" w:rsidRPr="003256E3">
        <w:rPr>
          <w:rFonts w:ascii="Calibri" w:hAnsi="Calibri" w:cs="Calibri"/>
        </w:rPr>
        <w:t>verything related to th</w:t>
      </w:r>
      <w:r w:rsidRPr="003256E3">
        <w:rPr>
          <w:rFonts w:ascii="Calibri" w:hAnsi="Calibri" w:cs="Calibri"/>
        </w:rPr>
        <w:t>e</w:t>
      </w:r>
      <w:r w:rsidR="00FC4DB3" w:rsidRPr="003256E3">
        <w:rPr>
          <w:rFonts w:ascii="Calibri" w:hAnsi="Calibri" w:cs="Calibri"/>
        </w:rPr>
        <w:t xml:space="preserve"> device and its associated procedures will be in the patient's electronic medical record </w:t>
      </w:r>
      <w:r w:rsidRPr="003256E3">
        <w:rPr>
          <w:rFonts w:ascii="Calibri" w:hAnsi="Calibri" w:cs="Calibri"/>
        </w:rPr>
        <w:t>as with standard clinical care and that o</w:t>
      </w:r>
      <w:r w:rsidR="00FC4DB3" w:rsidRPr="003256E3">
        <w:rPr>
          <w:rFonts w:ascii="Calibri" w:hAnsi="Calibri" w:cs="Calibri"/>
        </w:rPr>
        <w:t>nly clinical personnel who already have access to the patient's EMR will have access to the details of the device and surgical procedure.</w:t>
      </w:r>
    </w:p>
    <w:p w14:paraId="4588FA71" w14:textId="77777777" w:rsidR="008E5D64" w:rsidRPr="003256E3" w:rsidRDefault="00FC4DB3" w:rsidP="008E5D64">
      <w:pPr>
        <w:rPr>
          <w:rFonts w:ascii="Calibri" w:hAnsi="Calibri" w:cs="Calibri"/>
        </w:rPr>
      </w:pPr>
      <w:r w:rsidRPr="003256E3">
        <w:rPr>
          <w:rFonts w:ascii="Calibri" w:hAnsi="Calibri" w:cs="Calibri"/>
        </w:rPr>
        <w:t xml:space="preserve">2.0 </w:t>
      </w:r>
      <w:r w:rsidR="008E5D64" w:rsidRPr="003256E3">
        <w:rPr>
          <w:rFonts w:ascii="Calibri" w:hAnsi="Calibri" w:cs="Calibri"/>
        </w:rPr>
        <w:t>– S</w:t>
      </w:r>
      <w:r w:rsidRPr="003256E3">
        <w:rPr>
          <w:rFonts w:ascii="Calibri" w:hAnsi="Calibri" w:cs="Calibri"/>
        </w:rPr>
        <w:t xml:space="preserve">elect "password protected network storage". </w:t>
      </w:r>
    </w:p>
    <w:p w14:paraId="2AD39D95" w14:textId="6E0941BD" w:rsidR="00FC4DB3" w:rsidRPr="003256E3" w:rsidRDefault="00FC4DB3" w:rsidP="008E5D64">
      <w:pPr>
        <w:rPr>
          <w:rFonts w:ascii="Calibri" w:hAnsi="Calibri" w:cs="Calibri"/>
        </w:rPr>
      </w:pPr>
      <w:r w:rsidRPr="003256E3">
        <w:rPr>
          <w:rFonts w:ascii="Calibri" w:hAnsi="Calibri" w:cs="Calibri"/>
        </w:rPr>
        <w:t xml:space="preserve">4.0 </w:t>
      </w:r>
      <w:r w:rsidR="008E5D64" w:rsidRPr="003256E3">
        <w:rPr>
          <w:rFonts w:ascii="Calibri" w:hAnsi="Calibri" w:cs="Calibri"/>
        </w:rPr>
        <w:t>– S</w:t>
      </w:r>
      <w:r w:rsidRPr="003256E3">
        <w:rPr>
          <w:rFonts w:ascii="Calibri" w:hAnsi="Calibri" w:cs="Calibri"/>
        </w:rPr>
        <w:t>elect that research participation WILL be documented in Epic.</w:t>
      </w:r>
      <w:r w:rsidR="009E5FF6">
        <w:rPr>
          <w:rFonts w:ascii="Calibri" w:hAnsi="Calibri" w:cs="Calibri"/>
        </w:rPr>
        <w:t xml:space="preserve">  </w:t>
      </w:r>
      <w:r w:rsidR="009E5FF6" w:rsidRPr="00821C3A">
        <w:rPr>
          <w:rFonts w:ascii="Calibri" w:hAnsi="Calibri" w:cs="Calibri"/>
        </w:rPr>
        <w:t>This selection is important to ensure billing compliance.</w:t>
      </w:r>
      <w:r w:rsidR="009E5FF6">
        <w:rPr>
          <w:rFonts w:ascii="Calibri" w:hAnsi="Calibri" w:cs="Calibri"/>
        </w:rPr>
        <w:t xml:space="preserve">  </w:t>
      </w:r>
    </w:p>
    <w:p w14:paraId="169162C6" w14:textId="7939F2F9" w:rsidR="00F9685E" w:rsidRPr="00FF28E3" w:rsidRDefault="00FF28E3">
      <w:pPr>
        <w:rPr>
          <w:rFonts w:ascii="Calibri" w:hAnsi="Calibri" w:cs="Calibri"/>
          <w:b/>
          <w:bCs/>
        </w:rPr>
      </w:pPr>
      <w:r w:rsidRPr="00FF28E3">
        <w:rPr>
          <w:rFonts w:ascii="Calibri" w:hAnsi="Calibri" w:cs="Calibri"/>
          <w:b/>
          <w:bCs/>
        </w:rPr>
        <w:t>Protect Health Information (PHI) for Research</w:t>
      </w:r>
    </w:p>
    <w:p w14:paraId="788D361B" w14:textId="691C965B" w:rsidR="00FF28E3" w:rsidRPr="00821C3A" w:rsidRDefault="00FF28E3" w:rsidP="00821C3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821C3A">
        <w:rPr>
          <w:rFonts w:ascii="Calibri" w:hAnsi="Calibri" w:cs="Calibri"/>
        </w:rPr>
        <w:t>– Select “None of the above 18 identifiers will be used/disclosed for this research study”.</w:t>
      </w:r>
    </w:p>
    <w:p w14:paraId="6EA1EB37" w14:textId="42451632" w:rsidR="00730610" w:rsidRPr="00730610" w:rsidRDefault="00730610" w:rsidP="00730610">
      <w:pPr>
        <w:rPr>
          <w:rFonts w:ascii="Calibri" w:hAnsi="Calibri" w:cs="Calibri"/>
          <w:b/>
          <w:bCs/>
        </w:rPr>
      </w:pPr>
      <w:r w:rsidRPr="00730610">
        <w:rPr>
          <w:rFonts w:ascii="Calibri" w:hAnsi="Calibri" w:cs="Calibri"/>
          <w:b/>
          <w:bCs/>
        </w:rPr>
        <w:t>General Comments</w:t>
      </w:r>
    </w:p>
    <w:p w14:paraId="4D50D99A" w14:textId="7B2B662A" w:rsidR="00236090" w:rsidRPr="00730610" w:rsidRDefault="00730610" w:rsidP="00730610">
      <w:p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730610">
        <w:rPr>
          <w:rFonts w:ascii="Calibri" w:hAnsi="Calibri" w:cs="Calibri"/>
        </w:rPr>
        <w:t xml:space="preserve">pload the FDA letter and any other required documents listed in the policy that have not been uploaded </w:t>
      </w:r>
      <w:r w:rsidR="00E72E1D">
        <w:rPr>
          <w:rFonts w:ascii="Calibri" w:hAnsi="Calibri" w:cs="Calibri"/>
        </w:rPr>
        <w:t>elsewhere</w:t>
      </w:r>
      <w:r w:rsidRPr="00730610">
        <w:rPr>
          <w:rFonts w:ascii="Calibri" w:hAnsi="Calibri" w:cs="Calibri"/>
        </w:rPr>
        <w:t>. </w:t>
      </w:r>
    </w:p>
    <w:sectPr w:rsidR="00236090" w:rsidRPr="0073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A57"/>
    <w:multiLevelType w:val="multilevel"/>
    <w:tmpl w:val="CE18056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C397F41"/>
    <w:multiLevelType w:val="multilevel"/>
    <w:tmpl w:val="84CE7C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3A7D5D"/>
    <w:multiLevelType w:val="multilevel"/>
    <w:tmpl w:val="6DA00F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F9F7E1A"/>
    <w:multiLevelType w:val="multilevel"/>
    <w:tmpl w:val="E9A893A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B92818"/>
    <w:multiLevelType w:val="multilevel"/>
    <w:tmpl w:val="B67082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9F100D0"/>
    <w:multiLevelType w:val="multilevel"/>
    <w:tmpl w:val="BC4AFD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A5B7506"/>
    <w:multiLevelType w:val="multilevel"/>
    <w:tmpl w:val="726AB4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7FB35ED"/>
    <w:multiLevelType w:val="multilevel"/>
    <w:tmpl w:val="ED0473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02061377">
    <w:abstractNumId w:val="1"/>
  </w:num>
  <w:num w:numId="2" w16cid:durableId="159933358">
    <w:abstractNumId w:val="4"/>
  </w:num>
  <w:num w:numId="3" w16cid:durableId="2037384459">
    <w:abstractNumId w:val="3"/>
  </w:num>
  <w:num w:numId="4" w16cid:durableId="526912164">
    <w:abstractNumId w:val="6"/>
  </w:num>
  <w:num w:numId="5" w16cid:durableId="1931498724">
    <w:abstractNumId w:val="5"/>
  </w:num>
  <w:num w:numId="6" w16cid:durableId="1561862420">
    <w:abstractNumId w:val="2"/>
  </w:num>
  <w:num w:numId="7" w16cid:durableId="1560094176">
    <w:abstractNumId w:val="7"/>
  </w:num>
  <w:num w:numId="8" w16cid:durableId="63071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70"/>
    <w:rsid w:val="00007056"/>
    <w:rsid w:val="00095A4F"/>
    <w:rsid w:val="00142840"/>
    <w:rsid w:val="00171E2E"/>
    <w:rsid w:val="001D5221"/>
    <w:rsid w:val="00200F6C"/>
    <w:rsid w:val="00236090"/>
    <w:rsid w:val="00260C52"/>
    <w:rsid w:val="00263BB8"/>
    <w:rsid w:val="002B6D88"/>
    <w:rsid w:val="002F09BD"/>
    <w:rsid w:val="003256E3"/>
    <w:rsid w:val="00436EEF"/>
    <w:rsid w:val="005E7F20"/>
    <w:rsid w:val="00625E66"/>
    <w:rsid w:val="00676741"/>
    <w:rsid w:val="00691160"/>
    <w:rsid w:val="006F2F90"/>
    <w:rsid w:val="00716F35"/>
    <w:rsid w:val="00726098"/>
    <w:rsid w:val="00727DE6"/>
    <w:rsid w:val="00730610"/>
    <w:rsid w:val="00791170"/>
    <w:rsid w:val="008212DB"/>
    <w:rsid w:val="00821C3A"/>
    <w:rsid w:val="008A46FD"/>
    <w:rsid w:val="008E5D64"/>
    <w:rsid w:val="008F12A4"/>
    <w:rsid w:val="00935835"/>
    <w:rsid w:val="00986649"/>
    <w:rsid w:val="00990F68"/>
    <w:rsid w:val="009E5FF6"/>
    <w:rsid w:val="00AA4AD5"/>
    <w:rsid w:val="00B316F3"/>
    <w:rsid w:val="00BC427F"/>
    <w:rsid w:val="00C52757"/>
    <w:rsid w:val="00C73D06"/>
    <w:rsid w:val="00C950DB"/>
    <w:rsid w:val="00CB0BAE"/>
    <w:rsid w:val="00D029DE"/>
    <w:rsid w:val="00D227C9"/>
    <w:rsid w:val="00D86455"/>
    <w:rsid w:val="00DD35E6"/>
    <w:rsid w:val="00DE7B54"/>
    <w:rsid w:val="00E51B07"/>
    <w:rsid w:val="00E72E1D"/>
    <w:rsid w:val="00EA4279"/>
    <w:rsid w:val="00F41213"/>
    <w:rsid w:val="00F65DE5"/>
    <w:rsid w:val="00F9685E"/>
    <w:rsid w:val="00FC4DB3"/>
    <w:rsid w:val="00FD321B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ACD0"/>
  <w15:chartTrackingRefBased/>
  <w15:docId w15:val="{210A5F6E-6C09-4D4D-A2A3-FB60EC1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7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6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0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0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Bright, Katherine D</dc:creator>
  <cp:keywords/>
  <dc:description/>
  <cp:lastModifiedBy>Orak, Jessica</cp:lastModifiedBy>
  <cp:revision>2</cp:revision>
  <dcterms:created xsi:type="dcterms:W3CDTF">2025-03-12T14:14:00Z</dcterms:created>
  <dcterms:modified xsi:type="dcterms:W3CDTF">2025-03-12T14:14:00Z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-1513185808</vt:i4>
  </property>
  <property fmtid="{D5CDD505-2E9C-101B-9397-08002B2CF9AE}" pid="4" name="_EmailSubject">
    <vt:lpwstr>HUD Guidance Doc</vt:lpwstr>
  </property>
  <property fmtid="{D5CDD505-2E9C-101B-9397-08002B2CF9AE}" pid="5" name="_AuthorEmail">
    <vt:lpwstr>haynes@musc.edu</vt:lpwstr>
  </property>
  <property fmtid="{D5CDD505-2E9C-101B-9397-08002B2CF9AE}" pid="6" name="_AuthorEmailDisplayName">
    <vt:lpwstr>Haynes, Amy Eaddy</vt:lpwstr>
  </property>
  <property fmtid="{D5CDD505-2E9C-101B-9397-08002B2CF9AE}" pid="7" name="_PreviousAdHocReviewCycleID">
    <vt:i4>1154735641</vt:i4>
  </property>
  <property fmtid="{D5CDD505-2E9C-101B-9397-08002B2CF9AE}" pid="8" name="_ReviewingToolsShownOnce">
    <vt:lpwstr/>
  </property>
</Properties>
</file>