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A6DD9" w14:textId="5522D986" w:rsidR="00990730" w:rsidRDefault="00BB5654" w:rsidP="00F06B71">
      <w:pPr>
        <w:jc w:val="center"/>
        <w:rPr>
          <w:b/>
          <w:color w:val="244061" w:themeColor="accent1" w:themeShade="80"/>
          <w:sz w:val="28"/>
          <w:szCs w:val="28"/>
        </w:rPr>
      </w:pPr>
      <w:r>
        <w:rPr>
          <w:b/>
          <w:color w:val="244061" w:themeColor="accent1" w:themeShade="80"/>
          <w:sz w:val="28"/>
          <w:szCs w:val="28"/>
        </w:rPr>
        <w:t>The</w:t>
      </w:r>
      <w:r w:rsidRPr="000559FE">
        <w:rPr>
          <w:b/>
          <w:color w:val="244061" w:themeColor="accent1" w:themeShade="80"/>
          <w:sz w:val="28"/>
          <w:szCs w:val="28"/>
        </w:rPr>
        <w:t xml:space="preserve"> </w:t>
      </w:r>
      <w:r w:rsidR="00BC0DF7">
        <w:rPr>
          <w:b/>
          <w:color w:val="244061" w:themeColor="accent1" w:themeShade="80"/>
          <w:sz w:val="28"/>
          <w:szCs w:val="28"/>
        </w:rPr>
        <w:t>2018 Revised Common Rule</w:t>
      </w:r>
      <w:r w:rsidR="00F06B71" w:rsidRPr="000559FE">
        <w:rPr>
          <w:b/>
          <w:color w:val="244061" w:themeColor="accent1" w:themeShade="80"/>
          <w:sz w:val="28"/>
          <w:szCs w:val="28"/>
        </w:rPr>
        <w:t xml:space="preserve">:  </w:t>
      </w:r>
    </w:p>
    <w:p w14:paraId="5224EF47" w14:textId="0B05681D" w:rsidR="00F06B71" w:rsidRDefault="00F06B71" w:rsidP="00F06B71">
      <w:pPr>
        <w:jc w:val="center"/>
        <w:rPr>
          <w:b/>
          <w:color w:val="244061" w:themeColor="accent1" w:themeShade="80"/>
          <w:sz w:val="28"/>
          <w:szCs w:val="28"/>
        </w:rPr>
      </w:pPr>
      <w:r w:rsidRPr="000559FE">
        <w:rPr>
          <w:b/>
          <w:color w:val="244061" w:themeColor="accent1" w:themeShade="80"/>
          <w:sz w:val="28"/>
          <w:szCs w:val="28"/>
        </w:rPr>
        <w:t>Breaking down the exempt categories</w:t>
      </w:r>
      <w:r w:rsidR="00BB5654">
        <w:rPr>
          <w:b/>
          <w:color w:val="244061" w:themeColor="accent1" w:themeShade="80"/>
          <w:sz w:val="28"/>
          <w:szCs w:val="28"/>
        </w:rPr>
        <w:t xml:space="preserve"> 2 and 4</w:t>
      </w:r>
      <w:r w:rsidR="00C511CF">
        <w:rPr>
          <w:b/>
          <w:color w:val="244061" w:themeColor="accent1" w:themeShade="80"/>
          <w:sz w:val="28"/>
          <w:szCs w:val="28"/>
        </w:rPr>
        <w:t xml:space="preserve"> </w:t>
      </w:r>
      <w:r w:rsidR="00C511CF" w:rsidRPr="00C511CF">
        <w:rPr>
          <w:b/>
          <w:color w:val="244061" w:themeColor="accent1" w:themeShade="80"/>
          <w:sz w:val="28"/>
          <w:szCs w:val="28"/>
        </w:rPr>
        <w:t>(45 CFR 46.104)</w:t>
      </w:r>
    </w:p>
    <w:p w14:paraId="6DFC61A3" w14:textId="77777777" w:rsidR="00C511CF" w:rsidRDefault="00C511CF" w:rsidP="00C511CF">
      <w:pPr>
        <w:rPr>
          <w:b/>
          <w:color w:val="244061" w:themeColor="accent1" w:themeShade="80"/>
          <w:sz w:val="28"/>
          <w:szCs w:val="28"/>
        </w:rPr>
      </w:pPr>
    </w:p>
    <w:p w14:paraId="063AAB2C" w14:textId="77777777" w:rsidR="000537C6" w:rsidRPr="000537C6" w:rsidRDefault="00C511CF" w:rsidP="000537C6">
      <w:pPr>
        <w:pStyle w:val="NoSpacing"/>
        <w:rPr>
          <w:b/>
          <w:color w:val="244061" w:themeColor="accent1" w:themeShade="80"/>
          <w:sz w:val="28"/>
          <w:szCs w:val="28"/>
        </w:rPr>
      </w:pPr>
      <w:r w:rsidRPr="000537C6">
        <w:rPr>
          <w:b/>
          <w:color w:val="244061" w:themeColor="accent1" w:themeShade="80"/>
          <w:sz w:val="28"/>
          <w:szCs w:val="28"/>
        </w:rPr>
        <w:t>Exempt Research Category 2</w:t>
      </w:r>
      <w:r w:rsidR="000537C6" w:rsidRPr="000537C6">
        <w:rPr>
          <w:b/>
          <w:color w:val="244061" w:themeColor="accent1" w:themeShade="80"/>
          <w:sz w:val="28"/>
          <w:szCs w:val="28"/>
        </w:rPr>
        <w:t xml:space="preserve"> </w:t>
      </w:r>
    </w:p>
    <w:p w14:paraId="13C55B54" w14:textId="77777777" w:rsidR="000537C6" w:rsidRPr="000537C6" w:rsidRDefault="000537C6" w:rsidP="00C511CF">
      <w:pPr>
        <w:rPr>
          <w:b/>
          <w:color w:val="244061" w:themeColor="accent1" w:themeShade="80"/>
          <w:sz w:val="24"/>
          <w:szCs w:val="24"/>
        </w:rPr>
      </w:pPr>
      <w:r w:rsidRPr="000537C6">
        <w:rPr>
          <w:b/>
          <w:color w:val="244061" w:themeColor="accent1" w:themeShade="80"/>
          <w:sz w:val="24"/>
          <w:szCs w:val="24"/>
        </w:rPr>
        <w:t>(Educational tests, surveys, interviews, observation of public behavior)</w:t>
      </w:r>
    </w:p>
    <w:p w14:paraId="154D5CAA" w14:textId="54A603D9" w:rsidR="000537C6" w:rsidRDefault="000537C6" w:rsidP="00C511CF">
      <w:pPr>
        <w:rPr>
          <w:sz w:val="24"/>
          <w:szCs w:val="24"/>
        </w:rPr>
      </w:pPr>
      <w:r w:rsidRPr="000537C6">
        <w:rPr>
          <w:sz w:val="24"/>
          <w:szCs w:val="24"/>
        </w:rPr>
        <w:t xml:space="preserve">The 2018 </w:t>
      </w:r>
      <w:r>
        <w:rPr>
          <w:sz w:val="24"/>
          <w:szCs w:val="24"/>
        </w:rPr>
        <w:t>changes to the Common Rule provide additional flexibility with regard to the kind of information that can be collected in survey/questionnaire research under exempt review.</w:t>
      </w:r>
    </w:p>
    <w:p w14:paraId="1F2D86EA" w14:textId="77777777" w:rsidR="00FE6602" w:rsidRDefault="00FE6602" w:rsidP="00FE6602">
      <w:pPr>
        <w:rPr>
          <w:i/>
          <w:iCs/>
          <w:sz w:val="24"/>
          <w:szCs w:val="24"/>
        </w:rPr>
      </w:pPr>
      <w:r w:rsidRPr="00FE6602">
        <w:rPr>
          <w:i/>
          <w:iCs/>
          <w:sz w:val="24"/>
          <w:szCs w:val="24"/>
        </w:rPr>
        <w:t>NOTE:</w:t>
      </w:r>
      <w:r>
        <w:rPr>
          <w:i/>
          <w:iCs/>
          <w:sz w:val="24"/>
          <w:szCs w:val="24"/>
        </w:rPr>
        <w:t xml:space="preserve"> </w:t>
      </w:r>
      <w:r w:rsidRPr="00FE6602">
        <w:rPr>
          <w:i/>
          <w:iCs/>
          <w:sz w:val="24"/>
          <w:szCs w:val="24"/>
        </w:rPr>
        <w:t xml:space="preserve"> The only research activities involving children that may fall under this exemption are those involving educational tests or observation of public behavior where the Principal Investigators do not participate in the activity being observed.</w:t>
      </w:r>
    </w:p>
    <w:p w14:paraId="53E8B39B" w14:textId="77777777" w:rsidR="007718D2" w:rsidRPr="0007177E" w:rsidRDefault="007718D2" w:rsidP="00C511CF">
      <w:pPr>
        <w:rPr>
          <w:b/>
          <w:color w:val="244061" w:themeColor="accent1" w:themeShade="80"/>
          <w:sz w:val="24"/>
          <w:szCs w:val="24"/>
        </w:rPr>
      </w:pPr>
      <w:r w:rsidRPr="0007177E">
        <w:rPr>
          <w:b/>
          <w:color w:val="244061" w:themeColor="accent1" w:themeShade="80"/>
          <w:sz w:val="24"/>
          <w:szCs w:val="24"/>
        </w:rPr>
        <w:t>The regulation:</w:t>
      </w:r>
    </w:p>
    <w:p w14:paraId="213F36F3" w14:textId="77777777" w:rsidR="00C511CF" w:rsidRPr="00C511CF" w:rsidRDefault="00C511CF" w:rsidP="00C511CF">
      <w:pPr>
        <w:rPr>
          <w:sz w:val="24"/>
          <w:szCs w:val="24"/>
        </w:rPr>
      </w:pPr>
      <w:r w:rsidRPr="00C511CF">
        <w:rPr>
          <w:sz w:val="24"/>
          <w:szCs w:val="24"/>
        </w:rPr>
        <w:t>Research that only includes interactions involving educational tests (cognitive, diagnostic, aptitude, achievement), survey procedures, interview procedures, or observation of public behavior (including visual or auditory recording) if at least one of</w:t>
      </w:r>
      <w:r>
        <w:rPr>
          <w:sz w:val="24"/>
          <w:szCs w:val="24"/>
        </w:rPr>
        <w:t xml:space="preserve"> the following criteria is met:</w:t>
      </w:r>
    </w:p>
    <w:p w14:paraId="3641280B" w14:textId="77777777" w:rsidR="00410865" w:rsidRDefault="00C511CF" w:rsidP="00410865">
      <w:pPr>
        <w:pStyle w:val="NoSpacing"/>
      </w:pPr>
      <w:r w:rsidRPr="00C511CF">
        <w:rPr>
          <w:b/>
        </w:rPr>
        <w:t>i.</w:t>
      </w:r>
      <w:r>
        <w:t xml:space="preserve"> </w:t>
      </w:r>
      <w:r w:rsidRPr="00C511CF">
        <w:t>The information obtained is recorded by the investigator in such a manner that the identity of the human subjects cannot readily be ascertained, directly or through identifiers linked to the subjects;</w:t>
      </w:r>
    </w:p>
    <w:p w14:paraId="56D16125" w14:textId="4109F678" w:rsidR="00C511CF" w:rsidRDefault="00080860" w:rsidP="00C511CF">
      <w:pPr>
        <w:rPr>
          <w:sz w:val="24"/>
          <w:szCs w:val="24"/>
        </w:rPr>
      </w:pPr>
      <w:r>
        <w:rPr>
          <w:b/>
          <w:noProof/>
          <w:sz w:val="24"/>
          <w:szCs w:val="24"/>
        </w:rPr>
        <mc:AlternateContent>
          <mc:Choice Requires="wps">
            <w:drawing>
              <wp:anchor distT="0" distB="0" distL="114300" distR="114300" simplePos="0" relativeHeight="251661312" behindDoc="0" locked="0" layoutInCell="1" allowOverlap="1" wp14:anchorId="594E7134" wp14:editId="64BD3FCF">
                <wp:simplePos x="0" y="0"/>
                <wp:positionH relativeFrom="column">
                  <wp:posOffset>2708910</wp:posOffset>
                </wp:positionH>
                <wp:positionV relativeFrom="paragraph">
                  <wp:posOffset>742315</wp:posOffset>
                </wp:positionV>
                <wp:extent cx="3504565" cy="3454400"/>
                <wp:effectExtent l="342900" t="19050" r="38735" b="31750"/>
                <wp:wrapSquare wrapText="bothSides"/>
                <wp:docPr id="13" name="Oval Callout 13"/>
                <wp:cNvGraphicFramePr/>
                <a:graphic xmlns:a="http://schemas.openxmlformats.org/drawingml/2006/main">
                  <a:graphicData uri="http://schemas.microsoft.com/office/word/2010/wordprocessingShape">
                    <wps:wsp>
                      <wps:cNvSpPr/>
                      <wps:spPr>
                        <a:xfrm>
                          <a:off x="0" y="0"/>
                          <a:ext cx="3504565" cy="3454400"/>
                        </a:xfrm>
                        <a:prstGeom prst="wedgeEllipseCallout">
                          <a:avLst>
                            <a:gd name="adj1" fmla="val -59538"/>
                            <a:gd name="adj2" fmla="val 178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CD925" w14:textId="1AB27EF4" w:rsidR="006557E3" w:rsidRPr="008108DB" w:rsidRDefault="006557E3" w:rsidP="000537C6">
                            <w:pPr>
                              <w:jc w:val="center"/>
                              <w:rPr>
                                <w:b/>
                                <w:sz w:val="24"/>
                                <w:szCs w:val="24"/>
                              </w:rPr>
                            </w:pPr>
                            <w:r w:rsidRPr="008108DB">
                              <w:rPr>
                                <w:b/>
                                <w:sz w:val="24"/>
                                <w:szCs w:val="24"/>
                              </w:rPr>
                              <w:t xml:space="preserve">  If this sub-category applies and health information is to be collected, </w:t>
                            </w:r>
                            <w:r>
                              <w:rPr>
                                <w:b/>
                                <w:sz w:val="24"/>
                                <w:szCs w:val="24"/>
                              </w:rPr>
                              <w:t>a</w:t>
                            </w:r>
                            <w:r w:rsidRPr="008108DB">
                              <w:rPr>
                                <w:b/>
                                <w:sz w:val="24"/>
                                <w:szCs w:val="24"/>
                              </w:rPr>
                              <w:t>pplication should include a request for a HIPAA waiver of authorization.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E713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6" type="#_x0000_t63" style="position:absolute;margin-left:213.3pt;margin-top:58.45pt;width:275.9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" adj="-2060,11185" fillcolor="#4f81bd [3204]" strokecolor="#243f60 [1604]" strokeweight="2pt">
                <v:textbox>
                  <w:txbxContent>
                    <w:p w14:paraId="773CD925" w14:textId="1AB27EF4" w:rsidR="006557E3" w:rsidRPr="008108DB" w:rsidRDefault="006557E3" w:rsidP="000537C6">
                      <w:pPr>
                        <w:jc w:val="center"/>
                        <w:rPr>
                          <w:b/>
                          <w:sz w:val="24"/>
                          <w:szCs w:val="24"/>
                        </w:rPr>
                      </w:pPr>
                      <w:r w:rsidRPr="008108DB">
                        <w:rPr>
                          <w:b/>
                          <w:sz w:val="24"/>
                          <w:szCs w:val="24"/>
                        </w:rPr>
                        <w:t xml:space="preserve">  If this sub-category applies and health information is to be collected, </w:t>
                      </w:r>
                      <w:r>
                        <w:rPr>
                          <w:b/>
                          <w:sz w:val="24"/>
                          <w:szCs w:val="24"/>
                        </w:rPr>
                        <w:t>a</w:t>
                      </w:r>
                      <w:r w:rsidRPr="008108DB">
                        <w:rPr>
                          <w:b/>
                          <w:sz w:val="24"/>
                          <w:szCs w:val="24"/>
                        </w:rPr>
                        <w:t>pplication should include a request for a HIPAA waiver of authorization.</w:t>
                      </w:r>
                    </w:p>
                  </w:txbxContent>
                </v:textbox>
                <w10:wrap type="square"/>
              </v:shape>
            </w:pict>
          </mc:Fallback>
        </mc:AlternateContent>
      </w:r>
      <w:r w:rsidR="00C511CF" w:rsidRPr="00C511CF">
        <w:rPr>
          <w:b/>
          <w:sz w:val="24"/>
          <w:szCs w:val="24"/>
        </w:rPr>
        <w:t>ii.</w:t>
      </w:r>
      <w:r w:rsidR="00C511CF">
        <w:rPr>
          <w:sz w:val="24"/>
          <w:szCs w:val="24"/>
        </w:rPr>
        <w:t xml:space="preserve"> </w:t>
      </w:r>
      <w:r w:rsidR="00C511CF" w:rsidRPr="00C511CF">
        <w:rPr>
          <w:sz w:val="24"/>
          <w:szCs w:val="24"/>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3988AE92" w14:textId="4312DE5A" w:rsidR="008108DB" w:rsidRPr="00C511CF" w:rsidRDefault="008108DB" w:rsidP="00C511CF">
      <w:pPr>
        <w:rPr>
          <w:sz w:val="24"/>
          <w:szCs w:val="24"/>
        </w:rPr>
      </w:pPr>
    </w:p>
    <w:p w14:paraId="4DF747B8" w14:textId="77777777" w:rsidR="00410865" w:rsidRDefault="00C511CF" w:rsidP="00971283">
      <w:pPr>
        <w:rPr>
          <w:sz w:val="24"/>
          <w:szCs w:val="24"/>
        </w:rPr>
      </w:pPr>
      <w:r w:rsidRPr="00C511CF">
        <w:rPr>
          <w:b/>
          <w:sz w:val="24"/>
          <w:szCs w:val="24"/>
        </w:rPr>
        <w:t>iii.</w:t>
      </w:r>
      <w:r>
        <w:rPr>
          <w:sz w:val="24"/>
          <w:szCs w:val="24"/>
        </w:rPr>
        <w:t xml:space="preserve"> </w:t>
      </w:r>
      <w:r w:rsidRPr="00C511CF">
        <w:rPr>
          <w:sz w:val="24"/>
          <w:szCs w:val="24"/>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27B7DCFB" w14:textId="3339DD9B" w:rsidR="00971283" w:rsidRPr="00410865" w:rsidRDefault="00971283" w:rsidP="00971283">
      <w:pPr>
        <w:rPr>
          <w:sz w:val="24"/>
          <w:szCs w:val="24"/>
        </w:rPr>
      </w:pPr>
      <w:r w:rsidRPr="0007177E">
        <w:rPr>
          <w:b/>
          <w:color w:val="244061" w:themeColor="accent1" w:themeShade="80"/>
          <w:sz w:val="24"/>
          <w:szCs w:val="24"/>
        </w:rPr>
        <w:lastRenderedPageBreak/>
        <w:t xml:space="preserve">The </w:t>
      </w:r>
      <w:proofErr w:type="spellStart"/>
      <w:r>
        <w:rPr>
          <w:b/>
          <w:color w:val="244061" w:themeColor="accent1" w:themeShade="80"/>
          <w:sz w:val="24"/>
          <w:szCs w:val="24"/>
        </w:rPr>
        <w:t>eIRB</w:t>
      </w:r>
      <w:proofErr w:type="spellEnd"/>
      <w:r>
        <w:rPr>
          <w:b/>
          <w:color w:val="244061" w:themeColor="accent1" w:themeShade="80"/>
          <w:sz w:val="24"/>
          <w:szCs w:val="24"/>
        </w:rPr>
        <w:t xml:space="preserve"> application</w:t>
      </w:r>
      <w:r w:rsidRPr="0007177E">
        <w:rPr>
          <w:b/>
          <w:color w:val="244061" w:themeColor="accent1" w:themeShade="80"/>
          <w:sz w:val="24"/>
          <w:szCs w:val="24"/>
        </w:rPr>
        <w:t>:</w:t>
      </w:r>
    </w:p>
    <w:p w14:paraId="0E8B22E3" w14:textId="11D57DBF" w:rsidR="00971283" w:rsidRDefault="00D20F1C" w:rsidP="00C511CF">
      <w:pPr>
        <w:rPr>
          <w:sz w:val="24"/>
          <w:szCs w:val="24"/>
        </w:rPr>
      </w:pPr>
      <w:r>
        <w:rPr>
          <w:noProof/>
        </w:rPr>
        <w:drawing>
          <wp:inline distT="0" distB="0" distL="0" distR="0" wp14:anchorId="0747EF5E" wp14:editId="7B111A74">
            <wp:extent cx="5943600" cy="2957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57830"/>
                    </a:xfrm>
                    <a:prstGeom prst="rect">
                      <a:avLst/>
                    </a:prstGeom>
                    <a:noFill/>
                    <a:ln>
                      <a:noFill/>
                    </a:ln>
                  </pic:spPr>
                </pic:pic>
              </a:graphicData>
            </a:graphic>
          </wp:inline>
        </w:drawing>
      </w:r>
    </w:p>
    <w:p w14:paraId="785E91C8" w14:textId="4884BE9E" w:rsidR="0075709F" w:rsidRDefault="0075709F" w:rsidP="0075709F">
      <w:pPr>
        <w:pStyle w:val="ListParagraph"/>
        <w:numPr>
          <w:ilvl w:val="0"/>
          <w:numId w:val="7"/>
        </w:numPr>
        <w:rPr>
          <w:sz w:val="24"/>
          <w:szCs w:val="24"/>
        </w:rPr>
      </w:pPr>
      <w:r>
        <w:rPr>
          <w:sz w:val="24"/>
          <w:szCs w:val="24"/>
        </w:rPr>
        <w:t xml:space="preserve">- </w:t>
      </w:r>
      <w:r w:rsidRPr="00FE6602">
        <w:rPr>
          <w:sz w:val="24"/>
          <w:szCs w:val="24"/>
        </w:rPr>
        <w:t>Provide the IRB with the following information to justify the exemption:</w:t>
      </w:r>
    </w:p>
    <w:p w14:paraId="4E4B9653" w14:textId="3991298A" w:rsidR="007F099C" w:rsidRDefault="0075709F" w:rsidP="0075709F">
      <w:pPr>
        <w:pStyle w:val="ListParagraph"/>
        <w:numPr>
          <w:ilvl w:val="0"/>
          <w:numId w:val="8"/>
        </w:numPr>
        <w:rPr>
          <w:sz w:val="24"/>
          <w:szCs w:val="24"/>
        </w:rPr>
      </w:pPr>
      <w:r>
        <w:rPr>
          <w:sz w:val="24"/>
          <w:szCs w:val="24"/>
        </w:rPr>
        <w:t xml:space="preserve">Include </w:t>
      </w:r>
      <w:r w:rsidR="00020242">
        <w:rPr>
          <w:sz w:val="24"/>
          <w:szCs w:val="24"/>
        </w:rPr>
        <w:t xml:space="preserve">information about </w:t>
      </w:r>
      <w:r>
        <w:rPr>
          <w:sz w:val="24"/>
          <w:szCs w:val="24"/>
        </w:rPr>
        <w:t xml:space="preserve">the study population, the study setting, how participants will be </w:t>
      </w:r>
      <w:r w:rsidR="00FE6602">
        <w:rPr>
          <w:sz w:val="24"/>
          <w:szCs w:val="24"/>
        </w:rPr>
        <w:t xml:space="preserve">identified and </w:t>
      </w:r>
      <w:r>
        <w:rPr>
          <w:sz w:val="24"/>
          <w:szCs w:val="24"/>
        </w:rPr>
        <w:t>recruited</w:t>
      </w:r>
      <w:r w:rsidR="00C04ED3">
        <w:rPr>
          <w:sz w:val="24"/>
          <w:szCs w:val="24"/>
        </w:rPr>
        <w:t>; if you plan to use cold contact to recruit participants, see MUSC guidance at</w:t>
      </w:r>
      <w:r w:rsidR="00D20F1C">
        <w:rPr>
          <w:sz w:val="24"/>
          <w:szCs w:val="24"/>
        </w:rPr>
        <w:t xml:space="preserve"> </w:t>
      </w:r>
      <w:hyperlink r:id="rId9" w:history="1">
        <w:r w:rsidR="00792A84">
          <w:rPr>
            <w:rStyle w:val="Hyperlink"/>
            <w:sz w:val="24"/>
            <w:szCs w:val="24"/>
          </w:rPr>
          <w:t>Cold Contact Recruitment Policy</w:t>
        </w:r>
      </w:hyperlink>
      <w:r w:rsidR="00792A84">
        <w:rPr>
          <w:sz w:val="24"/>
          <w:szCs w:val="24"/>
        </w:rPr>
        <w:t xml:space="preserve"> </w:t>
      </w:r>
      <w:r w:rsidR="007F099C">
        <w:rPr>
          <w:sz w:val="24"/>
          <w:szCs w:val="24"/>
        </w:rPr>
        <w:t>.</w:t>
      </w:r>
    </w:p>
    <w:p w14:paraId="1D2513E9" w14:textId="2E10FBF9" w:rsidR="007F099C" w:rsidRPr="00D20F1C" w:rsidRDefault="007F099C" w:rsidP="00D20F1C">
      <w:pPr>
        <w:pStyle w:val="ListParagraph"/>
        <w:numPr>
          <w:ilvl w:val="0"/>
          <w:numId w:val="8"/>
        </w:numPr>
        <w:rPr>
          <w:sz w:val="24"/>
          <w:szCs w:val="24"/>
        </w:rPr>
      </w:pPr>
      <w:r>
        <w:rPr>
          <w:sz w:val="24"/>
          <w:szCs w:val="24"/>
        </w:rPr>
        <w:t xml:space="preserve">If </w:t>
      </w:r>
      <w:r w:rsidR="003256E7">
        <w:rPr>
          <w:sz w:val="24"/>
          <w:szCs w:val="24"/>
        </w:rPr>
        <w:t xml:space="preserve">MUSC </w:t>
      </w:r>
      <w:r>
        <w:rPr>
          <w:sz w:val="24"/>
          <w:szCs w:val="24"/>
        </w:rPr>
        <w:t xml:space="preserve">students and/or employees will be </w:t>
      </w:r>
      <w:r w:rsidR="00080860">
        <w:rPr>
          <w:sz w:val="24"/>
          <w:szCs w:val="24"/>
        </w:rPr>
        <w:t>recruited,</w:t>
      </w:r>
      <w:r>
        <w:rPr>
          <w:sz w:val="24"/>
          <w:szCs w:val="24"/>
        </w:rPr>
        <w:t xml:space="preserve"> please address the measures that will be put in place to minimize coercion/undue influence.</w:t>
      </w:r>
    </w:p>
    <w:p w14:paraId="2791A165" w14:textId="4468B2D8" w:rsidR="0075709F" w:rsidRDefault="007F099C" w:rsidP="0075709F">
      <w:pPr>
        <w:pStyle w:val="ListParagraph"/>
        <w:numPr>
          <w:ilvl w:val="0"/>
          <w:numId w:val="8"/>
        </w:numPr>
        <w:rPr>
          <w:sz w:val="24"/>
          <w:szCs w:val="24"/>
        </w:rPr>
      </w:pPr>
      <w:r>
        <w:rPr>
          <w:sz w:val="24"/>
          <w:szCs w:val="24"/>
        </w:rPr>
        <w:t>List the</w:t>
      </w:r>
      <w:r w:rsidR="0075709F">
        <w:rPr>
          <w:sz w:val="24"/>
          <w:szCs w:val="24"/>
        </w:rPr>
        <w:t xml:space="preserve"> study procedure</w:t>
      </w:r>
      <w:r>
        <w:rPr>
          <w:sz w:val="24"/>
          <w:szCs w:val="24"/>
        </w:rPr>
        <w:t>(</w:t>
      </w:r>
      <w:r w:rsidR="0075709F">
        <w:rPr>
          <w:sz w:val="24"/>
          <w:szCs w:val="24"/>
        </w:rPr>
        <w:t>s</w:t>
      </w:r>
      <w:r>
        <w:rPr>
          <w:sz w:val="24"/>
          <w:szCs w:val="24"/>
        </w:rPr>
        <w:t>)</w:t>
      </w:r>
      <w:r w:rsidR="0075709F">
        <w:rPr>
          <w:sz w:val="24"/>
          <w:szCs w:val="24"/>
        </w:rPr>
        <w:t xml:space="preserve"> in chronological order</w:t>
      </w:r>
      <w:r w:rsidR="00020242">
        <w:rPr>
          <w:sz w:val="24"/>
          <w:szCs w:val="24"/>
        </w:rPr>
        <w:t xml:space="preserve"> and </w:t>
      </w:r>
      <w:r>
        <w:rPr>
          <w:sz w:val="24"/>
          <w:szCs w:val="24"/>
        </w:rPr>
        <w:t xml:space="preserve">include </w:t>
      </w:r>
      <w:r w:rsidR="00020242">
        <w:rPr>
          <w:sz w:val="24"/>
          <w:szCs w:val="24"/>
        </w:rPr>
        <w:t xml:space="preserve">any remuneration </w:t>
      </w:r>
      <w:r>
        <w:rPr>
          <w:sz w:val="24"/>
          <w:szCs w:val="24"/>
        </w:rPr>
        <w:t xml:space="preserve">that will be given for participation </w:t>
      </w:r>
      <w:r w:rsidR="00020242">
        <w:rPr>
          <w:sz w:val="24"/>
          <w:szCs w:val="24"/>
        </w:rPr>
        <w:t>(if applicable)</w:t>
      </w:r>
      <w:r w:rsidR="0075709F">
        <w:rPr>
          <w:sz w:val="24"/>
          <w:szCs w:val="24"/>
        </w:rPr>
        <w:t>.</w:t>
      </w:r>
    </w:p>
    <w:p w14:paraId="16407B4C" w14:textId="44F69429" w:rsidR="00020242" w:rsidRDefault="00020242" w:rsidP="00020242">
      <w:pPr>
        <w:pStyle w:val="ListParagraph"/>
        <w:numPr>
          <w:ilvl w:val="0"/>
          <w:numId w:val="8"/>
        </w:numPr>
        <w:rPr>
          <w:sz w:val="24"/>
          <w:szCs w:val="24"/>
        </w:rPr>
      </w:pPr>
      <w:r w:rsidRPr="00020242">
        <w:rPr>
          <w:sz w:val="24"/>
          <w:szCs w:val="24"/>
        </w:rPr>
        <w:t xml:space="preserve">Describe </w:t>
      </w:r>
      <w:r w:rsidR="007F099C">
        <w:rPr>
          <w:sz w:val="24"/>
          <w:szCs w:val="24"/>
        </w:rPr>
        <w:t>any</w:t>
      </w:r>
      <w:r w:rsidR="007F099C" w:rsidRPr="00020242">
        <w:rPr>
          <w:sz w:val="24"/>
          <w:szCs w:val="24"/>
        </w:rPr>
        <w:t xml:space="preserve"> </w:t>
      </w:r>
      <w:r w:rsidRPr="00020242">
        <w:rPr>
          <w:sz w:val="24"/>
          <w:szCs w:val="24"/>
        </w:rPr>
        <w:t>linkages to subjects</w:t>
      </w:r>
      <w:r w:rsidR="007F099C">
        <w:rPr>
          <w:sz w:val="24"/>
          <w:szCs w:val="24"/>
        </w:rPr>
        <w:t xml:space="preserve"> (if applicable</w:t>
      </w:r>
      <w:r w:rsidR="00080860">
        <w:rPr>
          <w:sz w:val="24"/>
          <w:szCs w:val="24"/>
        </w:rPr>
        <w:t>)</w:t>
      </w:r>
      <w:r w:rsidR="00080860" w:rsidRPr="00020242">
        <w:rPr>
          <w:sz w:val="24"/>
          <w:szCs w:val="24"/>
        </w:rPr>
        <w:t xml:space="preserve"> and</w:t>
      </w:r>
      <w:r w:rsidRPr="00020242">
        <w:rPr>
          <w:sz w:val="24"/>
          <w:szCs w:val="24"/>
        </w:rPr>
        <w:t xml:space="preserve"> indicate who will have access to subject identities. Keep in mind that by definition, if the data is code-linked, it is not de-identified.  De-identified means that there are no codes or identifiers; no way at all of linking the data to the subject. </w:t>
      </w:r>
    </w:p>
    <w:p w14:paraId="4E696DB7" w14:textId="2F1E5EC7" w:rsidR="007F099C" w:rsidRPr="00020242" w:rsidRDefault="007F099C" w:rsidP="00020242">
      <w:pPr>
        <w:pStyle w:val="ListParagraph"/>
        <w:numPr>
          <w:ilvl w:val="0"/>
          <w:numId w:val="8"/>
        </w:numPr>
        <w:rPr>
          <w:sz w:val="24"/>
          <w:szCs w:val="24"/>
        </w:rPr>
      </w:pPr>
      <w:r>
        <w:rPr>
          <w:sz w:val="24"/>
          <w:szCs w:val="24"/>
        </w:rPr>
        <w:t>For research studies that involve interviews/focus groups, please specify if the interviews/focus groups will be audio recorded.  If they are being recorded, will they be transcribed?</w:t>
      </w:r>
    </w:p>
    <w:p w14:paraId="5EFC510B" w14:textId="09122FBA" w:rsidR="00F50D4F" w:rsidRDefault="00C04ED3" w:rsidP="00020242">
      <w:pPr>
        <w:pStyle w:val="ListParagraph"/>
        <w:numPr>
          <w:ilvl w:val="0"/>
          <w:numId w:val="8"/>
        </w:numPr>
        <w:rPr>
          <w:sz w:val="24"/>
          <w:szCs w:val="24"/>
        </w:rPr>
      </w:pPr>
      <w:r>
        <w:rPr>
          <w:sz w:val="24"/>
          <w:szCs w:val="24"/>
        </w:rPr>
        <w:t>If applicable, l</w:t>
      </w:r>
      <w:r w:rsidR="00020242" w:rsidRPr="00020242">
        <w:rPr>
          <w:sz w:val="24"/>
          <w:szCs w:val="24"/>
        </w:rPr>
        <w:t xml:space="preserve">ist any collaborating sites where human subjects research will be performed, and describe the role of those sites in performing the proposed research.  </w:t>
      </w:r>
      <w:r w:rsidR="00020242">
        <w:rPr>
          <w:sz w:val="24"/>
          <w:szCs w:val="24"/>
        </w:rPr>
        <w:t>D</w:t>
      </w:r>
      <w:r w:rsidR="00020242" w:rsidRPr="00020242">
        <w:rPr>
          <w:sz w:val="24"/>
          <w:szCs w:val="24"/>
        </w:rPr>
        <w:t>escribe how data will be transferred and whether the data will contain identifiers.</w:t>
      </w:r>
    </w:p>
    <w:p w14:paraId="7B314B1F" w14:textId="22873177" w:rsidR="00F5523B" w:rsidRDefault="00F5523B" w:rsidP="00FE6602">
      <w:pPr>
        <w:pStyle w:val="ListParagraph"/>
        <w:rPr>
          <w:sz w:val="24"/>
          <w:szCs w:val="24"/>
        </w:rPr>
      </w:pPr>
    </w:p>
    <w:p w14:paraId="378170FB" w14:textId="7BD82359" w:rsidR="00410865" w:rsidRDefault="00410865" w:rsidP="00FE6602">
      <w:pPr>
        <w:pStyle w:val="ListParagraph"/>
        <w:rPr>
          <w:sz w:val="24"/>
          <w:szCs w:val="24"/>
        </w:rPr>
      </w:pPr>
    </w:p>
    <w:p w14:paraId="2DD10931" w14:textId="77777777" w:rsidR="00410865" w:rsidRDefault="00410865" w:rsidP="00FE6602">
      <w:pPr>
        <w:pStyle w:val="ListParagraph"/>
        <w:rPr>
          <w:sz w:val="24"/>
          <w:szCs w:val="24"/>
        </w:rPr>
      </w:pPr>
    </w:p>
    <w:p w14:paraId="6E37EF29" w14:textId="34A0DF69" w:rsidR="0075709F" w:rsidRPr="00FE6602" w:rsidRDefault="0075709F" w:rsidP="00FE6602">
      <w:pPr>
        <w:pStyle w:val="ListParagraph"/>
        <w:numPr>
          <w:ilvl w:val="0"/>
          <w:numId w:val="7"/>
        </w:numPr>
        <w:rPr>
          <w:sz w:val="24"/>
          <w:szCs w:val="24"/>
        </w:rPr>
      </w:pPr>
      <w:r w:rsidRPr="00FE6602">
        <w:rPr>
          <w:sz w:val="24"/>
          <w:szCs w:val="24"/>
        </w:rPr>
        <w:t>– Supporting Documents:</w:t>
      </w:r>
    </w:p>
    <w:p w14:paraId="23B33152" w14:textId="2BEBCC43" w:rsidR="007F099C" w:rsidRDefault="0075709F" w:rsidP="00FE6602">
      <w:pPr>
        <w:pStyle w:val="ListParagraph"/>
        <w:numPr>
          <w:ilvl w:val="0"/>
          <w:numId w:val="8"/>
        </w:numPr>
        <w:rPr>
          <w:sz w:val="24"/>
          <w:szCs w:val="24"/>
        </w:rPr>
      </w:pPr>
      <w:r>
        <w:rPr>
          <w:sz w:val="24"/>
          <w:szCs w:val="24"/>
        </w:rPr>
        <w:lastRenderedPageBreak/>
        <w:t>Upload a</w:t>
      </w:r>
      <w:r w:rsidR="00F5523B">
        <w:rPr>
          <w:sz w:val="24"/>
          <w:szCs w:val="24"/>
        </w:rPr>
        <w:t>n</w:t>
      </w:r>
      <w:r>
        <w:rPr>
          <w:sz w:val="24"/>
          <w:szCs w:val="24"/>
        </w:rPr>
        <w:t xml:space="preserve"> information paragraph</w:t>
      </w:r>
      <w:r w:rsidR="00F5523B">
        <w:rPr>
          <w:sz w:val="24"/>
          <w:szCs w:val="24"/>
        </w:rPr>
        <w:t xml:space="preserve"> </w:t>
      </w:r>
      <w:r w:rsidR="007F099C">
        <w:rPr>
          <w:sz w:val="24"/>
          <w:szCs w:val="24"/>
        </w:rPr>
        <w:t xml:space="preserve">that will be distributed </w:t>
      </w:r>
      <w:r w:rsidR="00F5523B">
        <w:rPr>
          <w:sz w:val="24"/>
          <w:szCs w:val="24"/>
        </w:rPr>
        <w:t>to the participants</w:t>
      </w:r>
      <w:r w:rsidR="007F099C">
        <w:rPr>
          <w:sz w:val="24"/>
          <w:szCs w:val="24"/>
        </w:rPr>
        <w:t xml:space="preserve"> prior to the completion of the survey, interview and/or focus group</w:t>
      </w:r>
      <w:r w:rsidR="008B46B1">
        <w:rPr>
          <w:sz w:val="24"/>
          <w:szCs w:val="24"/>
        </w:rPr>
        <w:t xml:space="preserve">.  The document should include the </w:t>
      </w:r>
      <w:proofErr w:type="spellStart"/>
      <w:r w:rsidR="008B46B1">
        <w:rPr>
          <w:sz w:val="24"/>
          <w:szCs w:val="24"/>
        </w:rPr>
        <w:t>eIRB</w:t>
      </w:r>
      <w:proofErr w:type="spellEnd"/>
      <w:r w:rsidR="008B46B1">
        <w:rPr>
          <w:sz w:val="24"/>
          <w:szCs w:val="24"/>
        </w:rPr>
        <w:t xml:space="preserve"> watermark</w:t>
      </w:r>
      <w:r w:rsidR="007472ED">
        <w:rPr>
          <w:sz w:val="24"/>
          <w:szCs w:val="24"/>
        </w:rPr>
        <w:t xml:space="preserve">.  </w:t>
      </w:r>
      <w:r w:rsidR="008B46B1">
        <w:rPr>
          <w:sz w:val="24"/>
          <w:szCs w:val="24"/>
        </w:rPr>
        <w:t xml:space="preserve"> </w:t>
      </w:r>
      <w:r w:rsidR="007472ED">
        <w:rPr>
          <w:sz w:val="24"/>
          <w:szCs w:val="24"/>
        </w:rPr>
        <w:t xml:space="preserve">The information paragraph may include </w:t>
      </w:r>
      <w:r w:rsidR="008B46B1">
        <w:rPr>
          <w:sz w:val="24"/>
          <w:szCs w:val="24"/>
        </w:rPr>
        <w:t>the following information:</w:t>
      </w:r>
      <w:r w:rsidR="00F5523B" w:rsidRPr="00F5523B">
        <w:rPr>
          <w:sz w:val="24"/>
          <w:szCs w:val="24"/>
        </w:rPr>
        <w:t xml:space="preserve"> </w:t>
      </w:r>
    </w:p>
    <w:p w14:paraId="0EBEF487" w14:textId="1E160F53" w:rsidR="007F099C" w:rsidRDefault="003B71BB" w:rsidP="001E4FDE">
      <w:pPr>
        <w:pStyle w:val="ListParagraph"/>
        <w:numPr>
          <w:ilvl w:val="1"/>
          <w:numId w:val="8"/>
        </w:numPr>
        <w:rPr>
          <w:sz w:val="24"/>
          <w:szCs w:val="24"/>
        </w:rPr>
      </w:pPr>
      <w:r>
        <w:rPr>
          <w:sz w:val="24"/>
          <w:szCs w:val="24"/>
        </w:rPr>
        <w:t>Potential participants</w:t>
      </w:r>
      <w:r w:rsidR="007F099C">
        <w:rPr>
          <w:sz w:val="24"/>
          <w:szCs w:val="24"/>
        </w:rPr>
        <w:t xml:space="preserve"> are being asked to participate in research study and that participation in research is voluntary </w:t>
      </w:r>
    </w:p>
    <w:p w14:paraId="40DA1617" w14:textId="5FD03CE7" w:rsidR="007F099C" w:rsidRDefault="007F099C" w:rsidP="001E4FDE">
      <w:pPr>
        <w:pStyle w:val="ListParagraph"/>
        <w:numPr>
          <w:ilvl w:val="1"/>
          <w:numId w:val="8"/>
        </w:numPr>
        <w:rPr>
          <w:sz w:val="24"/>
          <w:szCs w:val="24"/>
        </w:rPr>
      </w:pPr>
      <w:r>
        <w:rPr>
          <w:sz w:val="24"/>
          <w:szCs w:val="24"/>
        </w:rPr>
        <w:t xml:space="preserve">The </w:t>
      </w:r>
      <w:r w:rsidR="00F5523B" w:rsidRPr="00F5523B">
        <w:rPr>
          <w:sz w:val="24"/>
          <w:szCs w:val="24"/>
        </w:rPr>
        <w:t>purpose of the research</w:t>
      </w:r>
      <w:r>
        <w:rPr>
          <w:sz w:val="24"/>
          <w:szCs w:val="24"/>
        </w:rPr>
        <w:t xml:space="preserve"> </w:t>
      </w:r>
      <w:r w:rsidR="008B46B1">
        <w:rPr>
          <w:sz w:val="24"/>
          <w:szCs w:val="24"/>
        </w:rPr>
        <w:t xml:space="preserve">who is conducting the research </w:t>
      </w:r>
      <w:r>
        <w:rPr>
          <w:sz w:val="24"/>
          <w:szCs w:val="24"/>
        </w:rPr>
        <w:t xml:space="preserve">and </w:t>
      </w:r>
      <w:r w:rsidR="00F5523B" w:rsidRPr="00F5523B">
        <w:rPr>
          <w:sz w:val="24"/>
          <w:szCs w:val="24"/>
        </w:rPr>
        <w:t>why the participant is being asked to</w:t>
      </w:r>
      <w:r w:rsidR="00F5523B">
        <w:rPr>
          <w:sz w:val="24"/>
          <w:szCs w:val="24"/>
        </w:rPr>
        <w:t xml:space="preserve"> participate</w:t>
      </w:r>
      <w:r>
        <w:rPr>
          <w:sz w:val="24"/>
          <w:szCs w:val="24"/>
        </w:rPr>
        <w:t>.</w:t>
      </w:r>
    </w:p>
    <w:p w14:paraId="46A74140" w14:textId="4F569C06" w:rsidR="008B46B1" w:rsidRDefault="007F099C" w:rsidP="001E4FDE">
      <w:pPr>
        <w:pStyle w:val="ListParagraph"/>
        <w:numPr>
          <w:ilvl w:val="1"/>
          <w:numId w:val="8"/>
        </w:numPr>
        <w:rPr>
          <w:sz w:val="24"/>
          <w:szCs w:val="24"/>
        </w:rPr>
      </w:pPr>
      <w:r>
        <w:rPr>
          <w:sz w:val="24"/>
          <w:szCs w:val="24"/>
        </w:rPr>
        <w:t xml:space="preserve">Include a statement </w:t>
      </w:r>
      <w:r w:rsidR="00F5523B">
        <w:rPr>
          <w:sz w:val="24"/>
          <w:szCs w:val="24"/>
        </w:rPr>
        <w:t>o</w:t>
      </w:r>
      <w:r w:rsidR="008B46B1">
        <w:rPr>
          <w:sz w:val="24"/>
          <w:szCs w:val="24"/>
        </w:rPr>
        <w:t>n what (if any) identifying information will be stored.  If any interview/focus group will be audio recorded.</w:t>
      </w:r>
    </w:p>
    <w:p w14:paraId="16C0FDE5" w14:textId="56BF6F6C" w:rsidR="008B46B1" w:rsidRDefault="008B46B1" w:rsidP="001E4FDE">
      <w:pPr>
        <w:pStyle w:val="ListParagraph"/>
        <w:numPr>
          <w:ilvl w:val="1"/>
          <w:numId w:val="8"/>
        </w:numPr>
        <w:rPr>
          <w:sz w:val="24"/>
          <w:szCs w:val="24"/>
        </w:rPr>
      </w:pPr>
      <w:r>
        <w:rPr>
          <w:sz w:val="24"/>
          <w:szCs w:val="24"/>
        </w:rPr>
        <w:t xml:space="preserve">Instructions on </w:t>
      </w:r>
      <w:r w:rsidR="00F5523B" w:rsidRPr="00F5523B">
        <w:rPr>
          <w:sz w:val="24"/>
          <w:szCs w:val="24"/>
        </w:rPr>
        <w:t xml:space="preserve">how to return </w:t>
      </w:r>
      <w:r w:rsidR="00F5523B">
        <w:rPr>
          <w:sz w:val="24"/>
          <w:szCs w:val="24"/>
        </w:rPr>
        <w:t xml:space="preserve">any </w:t>
      </w:r>
      <w:r w:rsidR="00F5523B" w:rsidRPr="00F5523B">
        <w:rPr>
          <w:sz w:val="24"/>
          <w:szCs w:val="24"/>
        </w:rPr>
        <w:t>completed survey</w:t>
      </w:r>
      <w:r w:rsidR="00F5523B">
        <w:rPr>
          <w:sz w:val="24"/>
          <w:szCs w:val="24"/>
        </w:rPr>
        <w:t>s</w:t>
      </w:r>
      <w:r>
        <w:rPr>
          <w:sz w:val="24"/>
          <w:szCs w:val="24"/>
        </w:rPr>
        <w:t xml:space="preserve"> (if applicable)</w:t>
      </w:r>
      <w:r w:rsidR="00F5523B" w:rsidRPr="00F5523B">
        <w:rPr>
          <w:sz w:val="24"/>
          <w:szCs w:val="24"/>
        </w:rPr>
        <w:t xml:space="preserve">, </w:t>
      </w:r>
      <w:r w:rsidR="00F5523B">
        <w:rPr>
          <w:sz w:val="24"/>
          <w:szCs w:val="24"/>
        </w:rPr>
        <w:t xml:space="preserve">the duration of the study, </w:t>
      </w:r>
      <w:r w:rsidR="00F5523B" w:rsidRPr="00F5523B">
        <w:rPr>
          <w:sz w:val="24"/>
          <w:szCs w:val="24"/>
        </w:rPr>
        <w:t xml:space="preserve">how long </w:t>
      </w:r>
      <w:r w:rsidR="00F50D4F">
        <w:rPr>
          <w:sz w:val="24"/>
          <w:szCs w:val="24"/>
        </w:rPr>
        <w:t>each</w:t>
      </w:r>
      <w:r w:rsidR="00F5523B" w:rsidRPr="00F5523B">
        <w:rPr>
          <w:sz w:val="24"/>
          <w:szCs w:val="24"/>
        </w:rPr>
        <w:t xml:space="preserve"> survey</w:t>
      </w:r>
      <w:r w:rsidR="00F50D4F">
        <w:rPr>
          <w:sz w:val="24"/>
          <w:szCs w:val="24"/>
        </w:rPr>
        <w:t xml:space="preserve"> and/or </w:t>
      </w:r>
      <w:r w:rsidR="00F5523B">
        <w:rPr>
          <w:sz w:val="24"/>
          <w:szCs w:val="24"/>
        </w:rPr>
        <w:t>focus group</w:t>
      </w:r>
      <w:r w:rsidR="00F5523B" w:rsidRPr="00F5523B">
        <w:rPr>
          <w:sz w:val="24"/>
          <w:szCs w:val="24"/>
        </w:rPr>
        <w:t xml:space="preserve"> will take</w:t>
      </w:r>
      <w:r>
        <w:rPr>
          <w:sz w:val="24"/>
          <w:szCs w:val="24"/>
        </w:rPr>
        <w:t>.</w:t>
      </w:r>
    </w:p>
    <w:p w14:paraId="3F739F86" w14:textId="48AC66D9" w:rsidR="008B46B1" w:rsidRDefault="008B46B1" w:rsidP="001E4FDE">
      <w:pPr>
        <w:pStyle w:val="ListParagraph"/>
        <w:numPr>
          <w:ilvl w:val="1"/>
          <w:numId w:val="8"/>
        </w:numPr>
        <w:rPr>
          <w:sz w:val="24"/>
          <w:szCs w:val="24"/>
        </w:rPr>
      </w:pPr>
      <w:r>
        <w:rPr>
          <w:sz w:val="24"/>
          <w:szCs w:val="24"/>
        </w:rPr>
        <w:t>Brief description of any risks</w:t>
      </w:r>
      <w:r w:rsidR="00C04ED3">
        <w:rPr>
          <w:sz w:val="24"/>
          <w:szCs w:val="24"/>
        </w:rPr>
        <w:t xml:space="preserve"> (e.g. loss of confidentiality)</w:t>
      </w:r>
    </w:p>
    <w:p w14:paraId="21662454" w14:textId="09225914" w:rsidR="008B46B1" w:rsidRDefault="008B46B1" w:rsidP="001E4FDE">
      <w:pPr>
        <w:pStyle w:val="ListParagraph"/>
        <w:numPr>
          <w:ilvl w:val="1"/>
          <w:numId w:val="8"/>
        </w:numPr>
        <w:rPr>
          <w:sz w:val="24"/>
          <w:szCs w:val="24"/>
        </w:rPr>
      </w:pPr>
      <w:r>
        <w:rPr>
          <w:sz w:val="24"/>
          <w:szCs w:val="24"/>
        </w:rPr>
        <w:t xml:space="preserve">Information about </w:t>
      </w:r>
      <w:r w:rsidR="00E766E4">
        <w:rPr>
          <w:sz w:val="24"/>
          <w:szCs w:val="24"/>
        </w:rPr>
        <w:t>participant remuneration (if applicable</w:t>
      </w:r>
      <w:r>
        <w:rPr>
          <w:sz w:val="24"/>
          <w:szCs w:val="24"/>
        </w:rPr>
        <w:t>).</w:t>
      </w:r>
    </w:p>
    <w:p w14:paraId="60463E79" w14:textId="77777777" w:rsidR="008B46B1" w:rsidRDefault="008B46B1" w:rsidP="001E4FDE">
      <w:pPr>
        <w:pStyle w:val="ListParagraph"/>
        <w:numPr>
          <w:ilvl w:val="1"/>
          <w:numId w:val="8"/>
        </w:numPr>
        <w:rPr>
          <w:sz w:val="24"/>
          <w:szCs w:val="24"/>
        </w:rPr>
      </w:pPr>
      <w:r>
        <w:rPr>
          <w:sz w:val="24"/>
          <w:szCs w:val="24"/>
        </w:rPr>
        <w:t xml:space="preserve">Information about </w:t>
      </w:r>
      <w:r w:rsidR="00F5523B" w:rsidRPr="00F5523B">
        <w:rPr>
          <w:sz w:val="24"/>
          <w:szCs w:val="24"/>
        </w:rPr>
        <w:t>who to contact if there are any questions.</w:t>
      </w:r>
      <w:r w:rsidR="00E766E4">
        <w:rPr>
          <w:sz w:val="24"/>
          <w:szCs w:val="24"/>
        </w:rPr>
        <w:t xml:space="preserve"> </w:t>
      </w:r>
    </w:p>
    <w:p w14:paraId="20C80628" w14:textId="2D95FCC4" w:rsidR="0075709F" w:rsidRPr="00D20F1C" w:rsidRDefault="00F5523B" w:rsidP="00D20F1C">
      <w:pPr>
        <w:ind w:left="1080"/>
        <w:rPr>
          <w:sz w:val="24"/>
          <w:szCs w:val="24"/>
        </w:rPr>
      </w:pPr>
      <w:r w:rsidRPr="00D20F1C">
        <w:rPr>
          <w:sz w:val="24"/>
          <w:szCs w:val="24"/>
        </w:rPr>
        <w:t xml:space="preserve"> Suggest beginning the paragraph with the following sentence</w:t>
      </w:r>
      <w:r w:rsidR="00F50D4F" w:rsidRPr="00D20F1C">
        <w:rPr>
          <w:sz w:val="24"/>
          <w:szCs w:val="24"/>
        </w:rPr>
        <w:t xml:space="preserve">: </w:t>
      </w:r>
      <w:r w:rsidRPr="00D20F1C">
        <w:rPr>
          <w:sz w:val="24"/>
          <w:szCs w:val="24"/>
        </w:rPr>
        <w:t xml:space="preserve"> “</w:t>
      </w:r>
      <w:r w:rsidRPr="00D20F1C">
        <w:rPr>
          <w:i/>
          <w:iCs/>
          <w:sz w:val="24"/>
          <w:szCs w:val="24"/>
        </w:rPr>
        <w:t xml:space="preserve">You are being asked to participate in this </w:t>
      </w:r>
      <w:r w:rsidR="00E766E4" w:rsidRPr="00D20F1C">
        <w:rPr>
          <w:i/>
          <w:iCs/>
          <w:sz w:val="24"/>
          <w:szCs w:val="24"/>
        </w:rPr>
        <w:t xml:space="preserve">research </w:t>
      </w:r>
      <w:r w:rsidRPr="00D20F1C">
        <w:rPr>
          <w:i/>
          <w:iCs/>
          <w:sz w:val="24"/>
          <w:szCs w:val="24"/>
        </w:rPr>
        <w:t>study because you are [have] . . .</w:t>
      </w:r>
      <w:r w:rsidRPr="00D20F1C">
        <w:rPr>
          <w:sz w:val="24"/>
          <w:szCs w:val="24"/>
        </w:rPr>
        <w:t>”</w:t>
      </w:r>
    </w:p>
    <w:p w14:paraId="2A63FDBC" w14:textId="6E668B54" w:rsidR="0075709F" w:rsidRPr="00FE6602" w:rsidRDefault="0013778F" w:rsidP="0075709F">
      <w:pPr>
        <w:rPr>
          <w:sz w:val="24"/>
          <w:szCs w:val="24"/>
        </w:rPr>
      </w:pPr>
      <w:r>
        <w:rPr>
          <w:sz w:val="24"/>
          <w:szCs w:val="24"/>
        </w:rPr>
        <w:t xml:space="preserve">** Note –recruitment materials should not be uploaded as supporting documents.  These materials should be uploaded on the advertising/recruitment </w:t>
      </w:r>
      <w:proofErr w:type="spellStart"/>
      <w:r>
        <w:rPr>
          <w:sz w:val="24"/>
          <w:szCs w:val="24"/>
        </w:rPr>
        <w:t>smar</w:t>
      </w:r>
      <w:r w:rsidR="00C04ED3">
        <w:rPr>
          <w:sz w:val="24"/>
          <w:szCs w:val="24"/>
        </w:rPr>
        <w:t>t</w:t>
      </w:r>
      <w:r>
        <w:rPr>
          <w:sz w:val="24"/>
          <w:szCs w:val="24"/>
        </w:rPr>
        <w:t>form</w:t>
      </w:r>
      <w:proofErr w:type="spellEnd"/>
      <w:r>
        <w:rPr>
          <w:sz w:val="24"/>
          <w:szCs w:val="24"/>
        </w:rPr>
        <w:t>.</w:t>
      </w:r>
      <w:r w:rsidR="007472ED">
        <w:rPr>
          <w:sz w:val="24"/>
          <w:szCs w:val="24"/>
        </w:rPr>
        <w:t xml:space="preserve">  Recruitment materials should include an </w:t>
      </w:r>
      <w:proofErr w:type="spellStart"/>
      <w:r w:rsidR="007472ED">
        <w:rPr>
          <w:sz w:val="24"/>
          <w:szCs w:val="24"/>
        </w:rPr>
        <w:t>eIRB</w:t>
      </w:r>
      <w:proofErr w:type="spellEnd"/>
      <w:r w:rsidR="007472ED">
        <w:rPr>
          <w:sz w:val="24"/>
          <w:szCs w:val="24"/>
        </w:rPr>
        <w:t xml:space="preserve"> watermark. </w:t>
      </w:r>
    </w:p>
    <w:p w14:paraId="74EDFF6B" w14:textId="77777777" w:rsidR="00410865" w:rsidRDefault="00410865" w:rsidP="000537C6">
      <w:pPr>
        <w:pStyle w:val="NoSpacing"/>
        <w:rPr>
          <w:b/>
          <w:color w:val="244061" w:themeColor="accent1" w:themeShade="80"/>
          <w:sz w:val="28"/>
          <w:szCs w:val="28"/>
        </w:rPr>
      </w:pPr>
    </w:p>
    <w:p w14:paraId="6E7A0551" w14:textId="50BCC568" w:rsidR="000537C6" w:rsidRPr="000537C6" w:rsidRDefault="000537C6" w:rsidP="000537C6">
      <w:pPr>
        <w:pStyle w:val="NoSpacing"/>
        <w:rPr>
          <w:b/>
          <w:color w:val="244061" w:themeColor="accent1" w:themeShade="80"/>
          <w:sz w:val="28"/>
          <w:szCs w:val="28"/>
        </w:rPr>
      </w:pPr>
      <w:r w:rsidRPr="000537C6">
        <w:rPr>
          <w:b/>
          <w:color w:val="244061" w:themeColor="accent1" w:themeShade="80"/>
          <w:sz w:val="28"/>
          <w:szCs w:val="28"/>
        </w:rPr>
        <w:t xml:space="preserve">Exempt Research Category 4 </w:t>
      </w:r>
    </w:p>
    <w:p w14:paraId="5A2AF2FA" w14:textId="77777777" w:rsidR="000F60EF" w:rsidRPr="000537C6" w:rsidRDefault="000537C6" w:rsidP="000F60EF">
      <w:pPr>
        <w:rPr>
          <w:b/>
          <w:color w:val="244061" w:themeColor="accent1" w:themeShade="80"/>
          <w:sz w:val="24"/>
          <w:szCs w:val="24"/>
        </w:rPr>
      </w:pPr>
      <w:r w:rsidRPr="000537C6">
        <w:rPr>
          <w:b/>
          <w:color w:val="244061" w:themeColor="accent1" w:themeShade="80"/>
          <w:sz w:val="24"/>
          <w:szCs w:val="24"/>
        </w:rPr>
        <w:t>(Secondary research)</w:t>
      </w:r>
    </w:p>
    <w:p w14:paraId="3CB85915" w14:textId="5EB2E2B4" w:rsidR="00E5024F" w:rsidRDefault="00F06B71" w:rsidP="007718D2">
      <w:pPr>
        <w:rPr>
          <w:sz w:val="24"/>
          <w:szCs w:val="24"/>
        </w:rPr>
      </w:pPr>
      <w:r w:rsidRPr="00C511CF">
        <w:rPr>
          <w:sz w:val="24"/>
          <w:szCs w:val="24"/>
        </w:rPr>
        <w:t xml:space="preserve">Perhaps the most impactful </w:t>
      </w:r>
      <w:r w:rsidR="00E5024F" w:rsidRPr="00C511CF">
        <w:rPr>
          <w:sz w:val="24"/>
          <w:szCs w:val="24"/>
        </w:rPr>
        <w:t xml:space="preserve">procedural </w:t>
      </w:r>
      <w:r w:rsidRPr="00C511CF">
        <w:rPr>
          <w:sz w:val="24"/>
          <w:szCs w:val="24"/>
        </w:rPr>
        <w:t xml:space="preserve">change </w:t>
      </w:r>
      <w:r w:rsidR="00E5024F" w:rsidRPr="00C511CF">
        <w:rPr>
          <w:sz w:val="24"/>
          <w:szCs w:val="24"/>
        </w:rPr>
        <w:t xml:space="preserve">as a result of the </w:t>
      </w:r>
      <w:r w:rsidR="00990730">
        <w:rPr>
          <w:sz w:val="24"/>
          <w:szCs w:val="24"/>
        </w:rPr>
        <w:t>Revised</w:t>
      </w:r>
      <w:r w:rsidR="00E5024F" w:rsidRPr="00C511CF">
        <w:rPr>
          <w:sz w:val="24"/>
          <w:szCs w:val="24"/>
        </w:rPr>
        <w:t xml:space="preserve"> Rule </w:t>
      </w:r>
      <w:r w:rsidRPr="00C511CF">
        <w:rPr>
          <w:sz w:val="24"/>
          <w:szCs w:val="24"/>
        </w:rPr>
        <w:t xml:space="preserve">relates to </w:t>
      </w:r>
      <w:r w:rsidR="00002668" w:rsidRPr="00C511CF">
        <w:rPr>
          <w:sz w:val="24"/>
          <w:szCs w:val="24"/>
        </w:rPr>
        <w:t>secondary research, i.e.</w:t>
      </w:r>
      <w:r w:rsidRPr="00C511CF">
        <w:rPr>
          <w:sz w:val="24"/>
          <w:szCs w:val="24"/>
        </w:rPr>
        <w:t xml:space="preserve"> retrospective</w:t>
      </w:r>
      <w:r w:rsidR="00C511CF">
        <w:rPr>
          <w:sz w:val="24"/>
          <w:szCs w:val="24"/>
        </w:rPr>
        <w:t xml:space="preserve"> chart review studies.  Many</w:t>
      </w:r>
      <w:r w:rsidRPr="00C511CF">
        <w:rPr>
          <w:sz w:val="24"/>
          <w:szCs w:val="24"/>
        </w:rPr>
        <w:t xml:space="preserve"> of these were previously reviewed as </w:t>
      </w:r>
      <w:r w:rsidR="00080860" w:rsidRPr="00C511CF">
        <w:rPr>
          <w:sz w:val="24"/>
          <w:szCs w:val="24"/>
        </w:rPr>
        <w:t>expedited and</w:t>
      </w:r>
      <w:r w:rsidRPr="00C511CF">
        <w:rPr>
          <w:sz w:val="24"/>
          <w:szCs w:val="24"/>
        </w:rPr>
        <w:t xml:space="preserve"> </w:t>
      </w:r>
      <w:r w:rsidR="00990730">
        <w:rPr>
          <w:sz w:val="24"/>
          <w:szCs w:val="24"/>
        </w:rPr>
        <w:t>may</w:t>
      </w:r>
      <w:r w:rsidRPr="00C511CF">
        <w:rPr>
          <w:sz w:val="24"/>
          <w:szCs w:val="24"/>
        </w:rPr>
        <w:t xml:space="preserve"> now </w:t>
      </w:r>
      <w:r w:rsidR="00990730">
        <w:rPr>
          <w:sz w:val="24"/>
          <w:szCs w:val="24"/>
        </w:rPr>
        <w:t>be eligible for</w:t>
      </w:r>
      <w:r w:rsidR="00E5024F" w:rsidRPr="00C511CF">
        <w:rPr>
          <w:sz w:val="24"/>
          <w:szCs w:val="24"/>
        </w:rPr>
        <w:t xml:space="preserve"> exempt review under </w:t>
      </w:r>
      <w:r w:rsidR="00536455">
        <w:rPr>
          <w:sz w:val="24"/>
          <w:szCs w:val="24"/>
        </w:rPr>
        <w:t>C</w:t>
      </w:r>
      <w:r w:rsidR="00E5024F" w:rsidRPr="00C511CF">
        <w:rPr>
          <w:sz w:val="24"/>
          <w:szCs w:val="24"/>
        </w:rPr>
        <w:t xml:space="preserve">ategory 4.  </w:t>
      </w:r>
    </w:p>
    <w:p w14:paraId="073E4290" w14:textId="77777777" w:rsidR="00F06B71" w:rsidRPr="00F20B0D" w:rsidRDefault="003A4710" w:rsidP="003A4710">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Two </w:t>
      </w:r>
      <w:r w:rsidR="00F06B71"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things </w:t>
      </w:r>
      <w:r w:rsidR="00E5024F"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now </w:t>
      </w:r>
      <w:r w:rsidR="000559FE"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allowable </w:t>
      </w:r>
      <w:r w:rsidR="00F06B71"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under exempt review </w:t>
      </w:r>
      <w:r w:rsidR="000559FE"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which were </w:t>
      </w:r>
      <w:r w:rsidR="00F06B71"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not included </w:t>
      </w:r>
      <w:r w:rsidR="00E5024F"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previously</w:t>
      </w:r>
      <w:r w:rsidR="000559FE"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14:paraId="7A8C502C" w14:textId="77777777" w:rsidR="003A4710" w:rsidRPr="00F20B0D" w:rsidRDefault="00F06B71" w:rsidP="003A4710">
      <w:pPr>
        <w:pStyle w:val="ListParagraph"/>
        <w:numPr>
          <w:ilvl w:val="0"/>
          <w:numId w:val="4"/>
        </w:num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Recording of </w:t>
      </w:r>
      <w:r w:rsidR="0033640C">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HIPAA </w:t>
      </w:r>
      <w:r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identifiers or links to identifiers for </w:t>
      </w:r>
      <w:r w:rsidR="00002668"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information collection </w:t>
      </w:r>
      <w:r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studies</w:t>
      </w:r>
    </w:p>
    <w:p w14:paraId="73EC9B39" w14:textId="1CA691A9" w:rsidR="003A4710" w:rsidRDefault="003A4710" w:rsidP="003A4710">
      <w:pPr>
        <w:pStyle w:val="ListParagraph"/>
        <w:numPr>
          <w:ilvl w:val="0"/>
          <w:numId w:val="4"/>
        </w:num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20B0D">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Use of not yet existing or not currently “on the shelf” data</w:t>
      </w:r>
    </w:p>
    <w:p w14:paraId="3D2ECA20" w14:textId="6039C878" w:rsidR="00C04ED3" w:rsidRPr="00D20F1C" w:rsidRDefault="00C04ED3" w:rsidP="00D20F1C">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Note that secondary use of identifiable biospecimens in which the researcher would like to </w:t>
      </w:r>
      <w:r w:rsidR="002D1B67">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document/retain a link between the identifiers and the specimen is still not allowed under Category 4 –those must still be reviewed via expedited review.</w:t>
      </w:r>
    </w:p>
    <w:p w14:paraId="570BC1A2" w14:textId="77777777" w:rsidR="00F20B0D" w:rsidRPr="0007177E" w:rsidRDefault="00F20B0D" w:rsidP="00E5024F">
      <w:pPr>
        <w:rPr>
          <w:b/>
          <w:color w:val="244061" w:themeColor="accent1" w:themeShade="80"/>
          <w:sz w:val="24"/>
          <w:szCs w:val="24"/>
        </w:rPr>
      </w:pPr>
      <w:r w:rsidRPr="0007177E">
        <w:rPr>
          <w:b/>
          <w:color w:val="244061" w:themeColor="accent1" w:themeShade="80"/>
          <w:sz w:val="24"/>
          <w:szCs w:val="24"/>
        </w:rPr>
        <w:t>The regulation:</w:t>
      </w:r>
    </w:p>
    <w:p w14:paraId="79103B4A" w14:textId="7723B518" w:rsidR="00E5024F" w:rsidRDefault="00211E5D" w:rsidP="00E5024F">
      <w:pPr>
        <w:rPr>
          <w:sz w:val="24"/>
          <w:szCs w:val="24"/>
        </w:rPr>
      </w:pPr>
      <w:r w:rsidRPr="00B940AD">
        <w:rPr>
          <w:noProof/>
          <w:sz w:val="24"/>
          <w:szCs w:val="24"/>
        </w:rPr>
        <w:lastRenderedPageBreak/>
        <mc:AlternateContent>
          <mc:Choice Requires="wps">
            <w:drawing>
              <wp:anchor distT="0" distB="0" distL="114300" distR="114300" simplePos="0" relativeHeight="251659264" behindDoc="0" locked="0" layoutInCell="1" allowOverlap="1" wp14:anchorId="5C7C5CA4" wp14:editId="6768FE72">
                <wp:simplePos x="0" y="0"/>
                <wp:positionH relativeFrom="column">
                  <wp:posOffset>4147185</wp:posOffset>
                </wp:positionH>
                <wp:positionV relativeFrom="paragraph">
                  <wp:posOffset>209550</wp:posOffset>
                </wp:positionV>
                <wp:extent cx="2327910" cy="1692910"/>
                <wp:effectExtent l="57150" t="19050" r="34290" b="40640"/>
                <wp:wrapSquare wrapText="bothSides"/>
                <wp:docPr id="1" name="Oval Callout 1"/>
                <wp:cNvGraphicFramePr/>
                <a:graphic xmlns:a="http://schemas.openxmlformats.org/drawingml/2006/main">
                  <a:graphicData uri="http://schemas.microsoft.com/office/word/2010/wordprocessingShape">
                    <wps:wsp>
                      <wps:cNvSpPr/>
                      <wps:spPr>
                        <a:xfrm>
                          <a:off x="0" y="0"/>
                          <a:ext cx="2327910" cy="1692910"/>
                        </a:xfrm>
                        <a:prstGeom prst="wedgeEllipseCallout">
                          <a:avLst>
                            <a:gd name="adj1" fmla="val -51967"/>
                            <a:gd name="adj2" fmla="val 18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AB0C48" w14:textId="77777777" w:rsidR="006557E3" w:rsidRPr="00B940AD" w:rsidRDefault="006557E3" w:rsidP="005C0796">
                            <w:pPr>
                              <w:jc w:val="center"/>
                              <w:rPr>
                                <w:b/>
                                <w:sz w:val="24"/>
                                <w:szCs w:val="24"/>
                              </w:rPr>
                            </w:pPr>
                            <w:r w:rsidRPr="00B940AD">
                              <w:rPr>
                                <w:b/>
                                <w:sz w:val="24"/>
                                <w:szCs w:val="24"/>
                              </w:rPr>
                              <w:t xml:space="preserve">Secondary research under this </w:t>
                            </w:r>
                            <w:r>
                              <w:rPr>
                                <w:b/>
                                <w:sz w:val="24"/>
                                <w:szCs w:val="24"/>
                              </w:rPr>
                              <w:t>sub-</w:t>
                            </w:r>
                            <w:r w:rsidRPr="00B940AD">
                              <w:rPr>
                                <w:b/>
                                <w:sz w:val="24"/>
                                <w:szCs w:val="24"/>
                              </w:rPr>
                              <w:t xml:space="preserve">category must be recorded in a non-identifiable manner.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C5CA4" id="Oval Callout 1" o:spid="_x0000_s1027" type="#_x0000_t63" style="position:absolute;margin-left:326.55pt;margin-top:16.5pt;width:183.3pt;height:1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" adj="-425,14801" fillcolor="#4f81bd [3204]" strokecolor="#243f60 [1604]" strokeweight="2pt">
                <v:textbox>
                  <w:txbxContent>
                    <w:p w14:paraId="20AB0C48" w14:textId="77777777" w:rsidR="006557E3" w:rsidRPr="00B940AD" w:rsidRDefault="006557E3" w:rsidP="005C0796">
                      <w:pPr>
                        <w:jc w:val="center"/>
                        <w:rPr>
                          <w:b/>
                          <w:sz w:val="24"/>
                          <w:szCs w:val="24"/>
                        </w:rPr>
                      </w:pPr>
                      <w:r w:rsidRPr="00B940AD">
                        <w:rPr>
                          <w:b/>
                          <w:sz w:val="24"/>
                          <w:szCs w:val="24"/>
                        </w:rPr>
                        <w:t xml:space="preserve">Secondary research under this </w:t>
                      </w:r>
                      <w:r>
                        <w:rPr>
                          <w:b/>
                          <w:sz w:val="24"/>
                          <w:szCs w:val="24"/>
                        </w:rPr>
                        <w:t>sub-</w:t>
                      </w:r>
                      <w:r w:rsidRPr="00B940AD">
                        <w:rPr>
                          <w:b/>
                          <w:sz w:val="24"/>
                          <w:szCs w:val="24"/>
                        </w:rPr>
                        <w:t xml:space="preserve">category must be recorded in a non-identifiable manner.  </w:t>
                      </w:r>
                    </w:p>
                  </w:txbxContent>
                </v:textbox>
                <w10:wrap type="square"/>
              </v:shape>
            </w:pict>
          </mc:Fallback>
        </mc:AlternateContent>
      </w:r>
      <w:r w:rsidR="00F20B0D">
        <w:rPr>
          <w:sz w:val="24"/>
          <w:szCs w:val="24"/>
        </w:rPr>
        <w:t>S</w:t>
      </w:r>
      <w:r w:rsidR="00E5024F" w:rsidRPr="00B940AD">
        <w:rPr>
          <w:sz w:val="24"/>
          <w:szCs w:val="24"/>
        </w:rPr>
        <w:t>econdary research for which consent is not required: Secondary research uses of identifiable private information or identifiable biospecimens, if at least one of the following criteria is met:</w:t>
      </w:r>
    </w:p>
    <w:p w14:paraId="7EBF851C" w14:textId="43E9B078" w:rsidR="00E5024F" w:rsidRPr="00B940AD" w:rsidRDefault="00E5024F" w:rsidP="00E5024F">
      <w:pPr>
        <w:rPr>
          <w:sz w:val="24"/>
          <w:szCs w:val="24"/>
        </w:rPr>
      </w:pPr>
      <w:r w:rsidRPr="00B940AD">
        <w:rPr>
          <w:b/>
          <w:sz w:val="24"/>
          <w:szCs w:val="24"/>
        </w:rPr>
        <w:t>i.</w:t>
      </w:r>
      <w:r w:rsidRPr="00B940AD">
        <w:rPr>
          <w:sz w:val="24"/>
          <w:szCs w:val="24"/>
        </w:rPr>
        <w:t xml:space="preserve"> The identifiable private information or identifiable biospecimens are publicly available;</w:t>
      </w:r>
    </w:p>
    <w:p w14:paraId="14626D80" w14:textId="77777777" w:rsidR="00E5024F" w:rsidRPr="00B940AD" w:rsidRDefault="00F20B0D" w:rsidP="00E5024F">
      <w:pP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1C059AE9" wp14:editId="6DA3C542">
                <wp:simplePos x="0" y="0"/>
                <wp:positionH relativeFrom="column">
                  <wp:posOffset>2257425</wp:posOffset>
                </wp:positionH>
                <wp:positionV relativeFrom="paragraph">
                  <wp:posOffset>294005</wp:posOffset>
                </wp:positionV>
                <wp:extent cx="4087495" cy="3234055"/>
                <wp:effectExtent l="323850" t="19050" r="46355" b="42545"/>
                <wp:wrapSquare wrapText="bothSides"/>
                <wp:docPr id="11" name="Oval Callout 11"/>
                <wp:cNvGraphicFramePr/>
                <a:graphic xmlns:a="http://schemas.openxmlformats.org/drawingml/2006/main">
                  <a:graphicData uri="http://schemas.microsoft.com/office/word/2010/wordprocessingShape">
                    <wps:wsp>
                      <wps:cNvSpPr/>
                      <wps:spPr>
                        <a:xfrm>
                          <a:off x="0" y="0"/>
                          <a:ext cx="4087495" cy="3234055"/>
                        </a:xfrm>
                        <a:prstGeom prst="wedgeEllipseCallout">
                          <a:avLst>
                            <a:gd name="adj1" fmla="val -57588"/>
                            <a:gd name="adj2" fmla="val 31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85D7C" w14:textId="3D30074C" w:rsidR="006557E3" w:rsidRPr="00B940AD" w:rsidRDefault="006557E3" w:rsidP="007718D2">
                            <w:pPr>
                              <w:jc w:val="center"/>
                              <w:rPr>
                                <w:b/>
                                <w:sz w:val="24"/>
                                <w:szCs w:val="24"/>
                              </w:rPr>
                            </w:pPr>
                            <w:r w:rsidRPr="00B940AD">
                              <w:rPr>
                                <w:b/>
                                <w:sz w:val="24"/>
                                <w:szCs w:val="24"/>
                              </w:rPr>
                              <w:t xml:space="preserve">This </w:t>
                            </w:r>
                            <w:r w:rsidRPr="00C40041">
                              <w:rPr>
                                <w:b/>
                                <w:sz w:val="24"/>
                                <w:szCs w:val="24"/>
                              </w:rPr>
                              <w:t>sub-</w:t>
                            </w:r>
                            <w:r w:rsidRPr="00B940AD">
                              <w:rPr>
                                <w:b/>
                                <w:sz w:val="24"/>
                                <w:szCs w:val="24"/>
                              </w:rPr>
                              <w:t xml:space="preserve">category allows secondary research use of identifiable </w:t>
                            </w:r>
                            <w:r>
                              <w:rPr>
                                <w:b/>
                                <w:sz w:val="24"/>
                                <w:szCs w:val="24"/>
                              </w:rPr>
                              <w:t>health</w:t>
                            </w:r>
                            <w:r w:rsidRPr="00B940AD">
                              <w:rPr>
                                <w:b/>
                                <w:sz w:val="24"/>
                                <w:szCs w:val="24"/>
                              </w:rPr>
                              <w:t xml:space="preserve"> information.  </w:t>
                            </w:r>
                            <w:r>
                              <w:rPr>
                                <w:b/>
                                <w:sz w:val="24"/>
                                <w:szCs w:val="24"/>
                              </w:rPr>
                              <w:t>IRB a</w:t>
                            </w:r>
                            <w:r w:rsidRPr="00B940AD">
                              <w:rPr>
                                <w:b/>
                                <w:sz w:val="24"/>
                                <w:szCs w:val="24"/>
                              </w:rPr>
                              <w:t>pplication should include a HIPAA waiver</w:t>
                            </w:r>
                            <w:r>
                              <w:rPr>
                                <w:b/>
                                <w:sz w:val="24"/>
                                <w:szCs w:val="24"/>
                              </w:rPr>
                              <w:t xml:space="preserve"> of authorization</w:t>
                            </w:r>
                            <w:r w:rsidRPr="00B940AD">
                              <w:rPr>
                                <w:b/>
                                <w:sz w:val="24"/>
                                <w:szCs w:val="24"/>
                              </w:rPr>
                              <w:t xml:space="preserve"> </w:t>
                            </w:r>
                            <w:r>
                              <w:rPr>
                                <w:b/>
                                <w:sz w:val="24"/>
                                <w:szCs w:val="24"/>
                              </w:rPr>
                              <w:t xml:space="preserve">request </w:t>
                            </w:r>
                            <w:r w:rsidRPr="00B940AD">
                              <w:rPr>
                                <w:b/>
                                <w:sz w:val="24"/>
                                <w:szCs w:val="24"/>
                              </w:rPr>
                              <w:t>when this sub-category applies.  Note that category 4 iii specifies “only information collection”.</w:t>
                            </w:r>
                            <w:r>
                              <w:rPr>
                                <w:b/>
                                <w:sz w:val="24"/>
                                <w:szCs w:val="24"/>
                              </w:rPr>
                              <w:t xml:space="preserve">  </w:t>
                            </w:r>
                            <w:r w:rsidRPr="00B940AD">
                              <w:rPr>
                                <w:b/>
                                <w:sz w:val="24"/>
                                <w:szCs w:val="24"/>
                              </w:rPr>
                              <w:t>Research involving storage of identifiable biospecimens must still be submitted for expedited review.</w:t>
                            </w:r>
                          </w:p>
                          <w:p w14:paraId="6BB75182" w14:textId="77777777" w:rsidR="006557E3" w:rsidRPr="00B940AD" w:rsidRDefault="006557E3" w:rsidP="00B940AD">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9AE9" id="Oval Callout 11" o:spid="_x0000_s1028" type="#_x0000_t63" style="position:absolute;margin-left:177.75pt;margin-top:23.15pt;width:321.85pt;height:2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" adj="-1639,11473" fillcolor="#4f81bd [3204]" strokecolor="#243f60 [1604]" strokeweight="2pt">
                <v:textbox>
                  <w:txbxContent>
                    <w:p w14:paraId="52C85D7C" w14:textId="3D30074C" w:rsidR="006557E3" w:rsidRPr="00B940AD" w:rsidRDefault="006557E3" w:rsidP="007718D2">
                      <w:pPr>
                        <w:jc w:val="center"/>
                        <w:rPr>
                          <w:b/>
                          <w:sz w:val="24"/>
                          <w:szCs w:val="24"/>
                        </w:rPr>
                      </w:pPr>
                      <w:r w:rsidRPr="00B940AD">
                        <w:rPr>
                          <w:b/>
                          <w:sz w:val="24"/>
                          <w:szCs w:val="24"/>
                        </w:rPr>
                        <w:t xml:space="preserve">This </w:t>
                      </w:r>
                      <w:r w:rsidRPr="00C40041">
                        <w:rPr>
                          <w:b/>
                          <w:sz w:val="24"/>
                          <w:szCs w:val="24"/>
                        </w:rPr>
                        <w:t>sub-</w:t>
                      </w:r>
                      <w:r w:rsidRPr="00B940AD">
                        <w:rPr>
                          <w:b/>
                          <w:sz w:val="24"/>
                          <w:szCs w:val="24"/>
                        </w:rPr>
                        <w:t xml:space="preserve">category allows secondary research use of identifiable </w:t>
                      </w:r>
                      <w:r>
                        <w:rPr>
                          <w:b/>
                          <w:sz w:val="24"/>
                          <w:szCs w:val="24"/>
                        </w:rPr>
                        <w:t>health</w:t>
                      </w:r>
                      <w:r w:rsidRPr="00B940AD">
                        <w:rPr>
                          <w:b/>
                          <w:sz w:val="24"/>
                          <w:szCs w:val="24"/>
                        </w:rPr>
                        <w:t xml:space="preserve"> information.  </w:t>
                      </w:r>
                      <w:r>
                        <w:rPr>
                          <w:b/>
                          <w:sz w:val="24"/>
                          <w:szCs w:val="24"/>
                        </w:rPr>
                        <w:t>IRB a</w:t>
                      </w:r>
                      <w:r w:rsidRPr="00B940AD">
                        <w:rPr>
                          <w:b/>
                          <w:sz w:val="24"/>
                          <w:szCs w:val="24"/>
                        </w:rPr>
                        <w:t>pplication should include a HIPAA waiver</w:t>
                      </w:r>
                      <w:r>
                        <w:rPr>
                          <w:b/>
                          <w:sz w:val="24"/>
                          <w:szCs w:val="24"/>
                        </w:rPr>
                        <w:t xml:space="preserve"> of authorization</w:t>
                      </w:r>
                      <w:r w:rsidRPr="00B940AD">
                        <w:rPr>
                          <w:b/>
                          <w:sz w:val="24"/>
                          <w:szCs w:val="24"/>
                        </w:rPr>
                        <w:t xml:space="preserve"> </w:t>
                      </w:r>
                      <w:r>
                        <w:rPr>
                          <w:b/>
                          <w:sz w:val="24"/>
                          <w:szCs w:val="24"/>
                        </w:rPr>
                        <w:t xml:space="preserve">request </w:t>
                      </w:r>
                      <w:r w:rsidRPr="00B940AD">
                        <w:rPr>
                          <w:b/>
                          <w:sz w:val="24"/>
                          <w:szCs w:val="24"/>
                        </w:rPr>
                        <w:t>when this sub-category applies.  Note that category 4 iii specifies “only information collection”.</w:t>
                      </w:r>
                      <w:r>
                        <w:rPr>
                          <w:b/>
                          <w:sz w:val="24"/>
                          <w:szCs w:val="24"/>
                        </w:rPr>
                        <w:t xml:space="preserve">  </w:t>
                      </w:r>
                      <w:r w:rsidRPr="00B940AD">
                        <w:rPr>
                          <w:b/>
                          <w:sz w:val="24"/>
                          <w:szCs w:val="24"/>
                        </w:rPr>
                        <w:t>Research involving storage of identifiable biospecimens must still be submitted for expedited review.</w:t>
                      </w:r>
                    </w:p>
                    <w:p w14:paraId="6BB75182" w14:textId="77777777" w:rsidR="006557E3" w:rsidRPr="00B940AD" w:rsidRDefault="006557E3" w:rsidP="00B940AD">
                      <w:pPr>
                        <w:jc w:val="center"/>
                        <w:rPr>
                          <w:b/>
                          <w:sz w:val="24"/>
                          <w:szCs w:val="24"/>
                        </w:rPr>
                      </w:pPr>
                    </w:p>
                  </w:txbxContent>
                </v:textbox>
                <w10:wrap type="square"/>
              </v:shape>
            </w:pict>
          </mc:Fallback>
        </mc:AlternateContent>
      </w:r>
      <w:r w:rsidR="00E5024F" w:rsidRPr="00B940AD">
        <w:rPr>
          <w:b/>
          <w:sz w:val="24"/>
          <w:szCs w:val="24"/>
        </w:rPr>
        <w:t>ii.</w:t>
      </w:r>
      <w:r w:rsidR="00E5024F" w:rsidRPr="00B940AD">
        <w:rPr>
          <w:sz w:val="24"/>
          <w:szCs w:val="24"/>
        </w:rPr>
        <w:t xml:space="preserve">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1F0F7163" w14:textId="77777777" w:rsidR="00E5024F" w:rsidRDefault="00E5024F" w:rsidP="00E5024F">
      <w:pPr>
        <w:rPr>
          <w:sz w:val="24"/>
          <w:szCs w:val="24"/>
        </w:rPr>
      </w:pPr>
      <w:r w:rsidRPr="00B940AD">
        <w:rPr>
          <w:b/>
          <w:sz w:val="24"/>
          <w:szCs w:val="24"/>
        </w:rPr>
        <w:t>iii.</w:t>
      </w:r>
      <w:r w:rsidRPr="00B940AD">
        <w:rPr>
          <w:sz w:val="24"/>
          <w:szCs w:val="24"/>
        </w:rPr>
        <w:t xml:space="preserve">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519D3334" w14:textId="77777777" w:rsidR="00410865" w:rsidRDefault="00E5024F" w:rsidP="00CB7D67">
      <w:pPr>
        <w:rPr>
          <w:sz w:val="24"/>
          <w:szCs w:val="24"/>
        </w:rPr>
      </w:pPr>
      <w:r w:rsidRPr="00C511CF">
        <w:rPr>
          <w:b/>
          <w:sz w:val="24"/>
          <w:szCs w:val="24"/>
        </w:rPr>
        <w:t>iv.</w:t>
      </w:r>
      <w:r w:rsidRPr="00B940AD">
        <w:rPr>
          <w:sz w:val="24"/>
          <w:szCs w:val="24"/>
        </w:rPr>
        <w:t xml:space="preserve"> The research is conducted by, or on behalf of, a Federal department or agency using government-generated or government-collected information obtained for </w:t>
      </w:r>
      <w:proofErr w:type="spellStart"/>
      <w:r w:rsidRPr="00B940AD">
        <w:rPr>
          <w:sz w:val="24"/>
          <w:szCs w:val="24"/>
        </w:rPr>
        <w:t>nonresearch</w:t>
      </w:r>
      <w:proofErr w:type="spellEnd"/>
      <w:r w:rsidRPr="00B940AD">
        <w:rPr>
          <w:sz w:val="24"/>
          <w:szCs w:val="24"/>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bookmarkStart w:id="0" w:name="_Hlk62726428"/>
    </w:p>
    <w:p w14:paraId="7773D887" w14:textId="0862CE9E" w:rsidR="00CB7D67" w:rsidRPr="00410865" w:rsidRDefault="00CB7D67" w:rsidP="00CB7D67">
      <w:pPr>
        <w:rPr>
          <w:sz w:val="24"/>
          <w:szCs w:val="24"/>
        </w:rPr>
      </w:pPr>
      <w:r w:rsidRPr="0007177E">
        <w:rPr>
          <w:b/>
          <w:color w:val="244061" w:themeColor="accent1" w:themeShade="80"/>
          <w:sz w:val="24"/>
          <w:szCs w:val="24"/>
        </w:rPr>
        <w:t xml:space="preserve">The </w:t>
      </w:r>
      <w:proofErr w:type="spellStart"/>
      <w:r>
        <w:rPr>
          <w:b/>
          <w:color w:val="244061" w:themeColor="accent1" w:themeShade="80"/>
          <w:sz w:val="24"/>
          <w:szCs w:val="24"/>
        </w:rPr>
        <w:t>eIRB</w:t>
      </w:r>
      <w:proofErr w:type="spellEnd"/>
      <w:r>
        <w:rPr>
          <w:b/>
          <w:color w:val="244061" w:themeColor="accent1" w:themeShade="80"/>
          <w:sz w:val="24"/>
          <w:szCs w:val="24"/>
        </w:rPr>
        <w:t xml:space="preserve"> application</w:t>
      </w:r>
      <w:r w:rsidRPr="0007177E">
        <w:rPr>
          <w:b/>
          <w:color w:val="244061" w:themeColor="accent1" w:themeShade="80"/>
          <w:sz w:val="24"/>
          <w:szCs w:val="24"/>
        </w:rPr>
        <w:t>:</w:t>
      </w:r>
    </w:p>
    <w:bookmarkEnd w:id="0"/>
    <w:p w14:paraId="32469B92" w14:textId="48F5B73B" w:rsidR="00E5024F" w:rsidRDefault="00080860" w:rsidP="00F06B71">
      <w:pPr>
        <w:rPr>
          <w:sz w:val="24"/>
          <w:szCs w:val="24"/>
        </w:rPr>
      </w:pPr>
      <w:r>
        <w:rPr>
          <w:noProof/>
        </w:rPr>
        <w:lastRenderedPageBreak/>
        <w:drawing>
          <wp:inline distT="0" distB="0" distL="0" distR="0" wp14:anchorId="52E081AD" wp14:editId="13172560">
            <wp:extent cx="5943600" cy="2957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57830"/>
                    </a:xfrm>
                    <a:prstGeom prst="rect">
                      <a:avLst/>
                    </a:prstGeom>
                    <a:noFill/>
                    <a:ln>
                      <a:noFill/>
                    </a:ln>
                  </pic:spPr>
                </pic:pic>
              </a:graphicData>
            </a:graphic>
          </wp:inline>
        </w:drawing>
      </w:r>
    </w:p>
    <w:p w14:paraId="59CAF280" w14:textId="77777777" w:rsidR="0007177E" w:rsidRPr="00211E5D" w:rsidRDefault="003F7A75" w:rsidP="00F06B71">
      <w:pPr>
        <w:rPr>
          <w:sz w:val="24"/>
          <w:szCs w:val="24"/>
        </w:rPr>
      </w:pPr>
      <w:bookmarkStart w:id="1" w:name="_Hlk62726488"/>
      <w:r w:rsidRPr="00211E5D">
        <w:rPr>
          <w:sz w:val="24"/>
          <w:szCs w:val="24"/>
        </w:rPr>
        <w:t xml:space="preserve">1. </w:t>
      </w:r>
      <w:r w:rsidR="00FC5CED" w:rsidRPr="00211E5D">
        <w:rPr>
          <w:sz w:val="24"/>
          <w:szCs w:val="24"/>
        </w:rPr>
        <w:t>Provide the IRB with the following information to justify the exemption:</w:t>
      </w:r>
    </w:p>
    <w:bookmarkEnd w:id="1"/>
    <w:p w14:paraId="78533010" w14:textId="77777777" w:rsidR="00211E5D" w:rsidRPr="00211E5D" w:rsidRDefault="00211E5D" w:rsidP="00211E5D">
      <w:pPr>
        <w:pStyle w:val="ListParagraph"/>
        <w:ind w:left="0"/>
        <w:rPr>
          <w:rFonts w:cs="Arial"/>
          <w:sz w:val="24"/>
          <w:szCs w:val="24"/>
        </w:rPr>
      </w:pPr>
      <w:r w:rsidRPr="00211E5D">
        <w:rPr>
          <w:rFonts w:cs="Arial"/>
          <w:sz w:val="24"/>
          <w:szCs w:val="24"/>
        </w:rPr>
        <w:t xml:space="preserve">- Describe the types of research material obtained from living human subjects in the form of specimens, records, or data.  </w:t>
      </w:r>
    </w:p>
    <w:p w14:paraId="2A67BB31" w14:textId="77777777" w:rsidR="00211E5D" w:rsidRPr="00211E5D" w:rsidRDefault="00211E5D" w:rsidP="00211E5D">
      <w:pPr>
        <w:pStyle w:val="ListParagraph"/>
        <w:ind w:left="0"/>
        <w:rPr>
          <w:rFonts w:cs="Arial"/>
          <w:sz w:val="24"/>
          <w:szCs w:val="24"/>
        </w:rPr>
      </w:pPr>
    </w:p>
    <w:p w14:paraId="6885177F" w14:textId="77777777" w:rsidR="00211E5D" w:rsidRPr="00211E5D" w:rsidRDefault="00211E5D" w:rsidP="00211E5D">
      <w:pPr>
        <w:pStyle w:val="ListParagraph"/>
        <w:ind w:left="0"/>
        <w:rPr>
          <w:rFonts w:cs="Arial"/>
          <w:sz w:val="24"/>
          <w:szCs w:val="24"/>
        </w:rPr>
      </w:pPr>
      <w:r w:rsidRPr="00211E5D">
        <w:rPr>
          <w:rFonts w:cs="Arial"/>
          <w:sz w:val="24"/>
          <w:szCs w:val="24"/>
        </w:rPr>
        <w:t xml:space="preserve">- List the data that will be recorded on the human subjects involved in the project (e.g. admission and discharge dates, diagnoses, medications, etc.) </w:t>
      </w:r>
    </w:p>
    <w:p w14:paraId="54E35507" w14:textId="77777777" w:rsidR="00211E5D" w:rsidRPr="00211E5D" w:rsidRDefault="00211E5D" w:rsidP="00211E5D">
      <w:pPr>
        <w:pStyle w:val="ListParagraph"/>
        <w:ind w:left="0"/>
        <w:rPr>
          <w:rFonts w:cs="Arial"/>
          <w:sz w:val="24"/>
          <w:szCs w:val="24"/>
        </w:rPr>
      </w:pPr>
    </w:p>
    <w:p w14:paraId="3041CAFB" w14:textId="3FF89BD1" w:rsidR="00211E5D" w:rsidRPr="00211E5D" w:rsidRDefault="00211E5D" w:rsidP="00211E5D">
      <w:pPr>
        <w:pStyle w:val="ListParagraph"/>
        <w:ind w:left="0"/>
        <w:rPr>
          <w:rFonts w:cs="Arial"/>
          <w:sz w:val="24"/>
          <w:szCs w:val="24"/>
        </w:rPr>
      </w:pPr>
      <w:bookmarkStart w:id="2" w:name="_Hlk62728539"/>
      <w:r w:rsidRPr="00211E5D">
        <w:rPr>
          <w:rFonts w:cs="Arial"/>
          <w:sz w:val="24"/>
          <w:szCs w:val="24"/>
        </w:rPr>
        <w:t xml:space="preserve">- Describe the linkages to </w:t>
      </w:r>
      <w:r w:rsidR="00080860" w:rsidRPr="00211E5D">
        <w:rPr>
          <w:rFonts w:cs="Arial"/>
          <w:sz w:val="24"/>
          <w:szCs w:val="24"/>
        </w:rPr>
        <w:t>subjects and</w:t>
      </w:r>
      <w:r w:rsidRPr="00211E5D">
        <w:rPr>
          <w:rFonts w:cs="Arial"/>
          <w:sz w:val="24"/>
          <w:szCs w:val="24"/>
        </w:rPr>
        <w:t xml:space="preserve"> indicate who will have access to subject identities.</w:t>
      </w:r>
      <w:r w:rsidR="002079E9">
        <w:rPr>
          <w:rFonts w:cs="Arial"/>
          <w:sz w:val="24"/>
          <w:szCs w:val="24"/>
        </w:rPr>
        <w:t xml:space="preserve"> </w:t>
      </w:r>
      <w:r w:rsidR="002079E9" w:rsidRPr="002079E9">
        <w:rPr>
          <w:rFonts w:cs="Arial"/>
          <w:sz w:val="24"/>
          <w:szCs w:val="24"/>
        </w:rPr>
        <w:t>Keep in mind that by definition, if the data is code-linked, it is not de-identified.  De-identified means that there are no codes or identifiers; no way at all of linking the data to the subject.</w:t>
      </w:r>
      <w:r w:rsidR="002079E9">
        <w:rPr>
          <w:rFonts w:cs="Arial"/>
          <w:sz w:val="24"/>
          <w:szCs w:val="24"/>
        </w:rPr>
        <w:t xml:space="preserve"> </w:t>
      </w:r>
    </w:p>
    <w:p w14:paraId="6714C610" w14:textId="77777777" w:rsidR="00211E5D" w:rsidRPr="00211E5D" w:rsidRDefault="00211E5D" w:rsidP="00211E5D">
      <w:pPr>
        <w:pStyle w:val="ListParagraph"/>
        <w:ind w:left="0"/>
        <w:rPr>
          <w:rFonts w:cs="Arial"/>
          <w:sz w:val="24"/>
          <w:szCs w:val="24"/>
        </w:rPr>
      </w:pPr>
    </w:p>
    <w:p w14:paraId="22FF4D93" w14:textId="77777777" w:rsidR="00211E5D" w:rsidRPr="00211E5D" w:rsidRDefault="00211E5D" w:rsidP="00211E5D">
      <w:pPr>
        <w:pStyle w:val="ListParagraph"/>
        <w:ind w:left="0"/>
        <w:rPr>
          <w:rFonts w:cs="Arial"/>
          <w:sz w:val="24"/>
          <w:szCs w:val="24"/>
        </w:rPr>
      </w:pPr>
      <w:r w:rsidRPr="00211E5D">
        <w:rPr>
          <w:rFonts w:cs="Arial"/>
          <w:sz w:val="24"/>
          <w:szCs w:val="24"/>
        </w:rPr>
        <w:t>- Provide information about how the specimens, records, or data will be collected and where the data currently exist (e.g. patient chart, previous study, etc.)</w:t>
      </w:r>
    </w:p>
    <w:p w14:paraId="374FBA3F" w14:textId="77777777" w:rsidR="00211E5D" w:rsidRPr="00211E5D" w:rsidRDefault="00211E5D" w:rsidP="00211E5D">
      <w:pPr>
        <w:pStyle w:val="ListParagraph"/>
        <w:ind w:left="0"/>
        <w:rPr>
          <w:rFonts w:cs="Arial"/>
          <w:sz w:val="24"/>
          <w:szCs w:val="24"/>
        </w:rPr>
      </w:pPr>
    </w:p>
    <w:p w14:paraId="08A8E56C" w14:textId="4A6EDA13" w:rsidR="00211E5D" w:rsidRPr="00211E5D" w:rsidRDefault="00211E5D" w:rsidP="00211E5D">
      <w:pPr>
        <w:pStyle w:val="ListParagraph"/>
        <w:ind w:left="0"/>
        <w:rPr>
          <w:rFonts w:cs="Arial"/>
          <w:sz w:val="24"/>
          <w:szCs w:val="24"/>
        </w:rPr>
      </w:pPr>
      <w:r w:rsidRPr="00211E5D">
        <w:rPr>
          <w:rFonts w:cs="Arial"/>
          <w:sz w:val="24"/>
          <w:szCs w:val="24"/>
        </w:rPr>
        <w:t xml:space="preserve">- </w:t>
      </w:r>
      <w:r w:rsidR="00C04ED3">
        <w:rPr>
          <w:rFonts w:cs="Arial"/>
          <w:sz w:val="24"/>
          <w:szCs w:val="24"/>
        </w:rPr>
        <w:t>If applicable, l</w:t>
      </w:r>
      <w:r w:rsidR="00C04ED3" w:rsidRPr="00211E5D">
        <w:rPr>
          <w:rFonts w:cs="Arial"/>
          <w:sz w:val="24"/>
          <w:szCs w:val="24"/>
        </w:rPr>
        <w:t xml:space="preserve">ist </w:t>
      </w:r>
      <w:r w:rsidRPr="00211E5D">
        <w:rPr>
          <w:rFonts w:cs="Arial"/>
          <w:sz w:val="24"/>
          <w:szCs w:val="24"/>
        </w:rPr>
        <w:t>any collaborating sites where human subjects research will be performed, and describe the role of those sites in performing the proposed research.  If data will be sent or received outside of MUSC, describe how data will be transferred and whether the data will contain identifiers.</w:t>
      </w:r>
    </w:p>
    <w:bookmarkEnd w:id="2"/>
    <w:p w14:paraId="3412C202" w14:textId="77777777" w:rsidR="0007177E" w:rsidRPr="00211E5D" w:rsidRDefault="0007177E" w:rsidP="00FC5CED">
      <w:pPr>
        <w:pStyle w:val="NoSpacing"/>
      </w:pPr>
    </w:p>
    <w:p w14:paraId="4EA98B36" w14:textId="16C22763" w:rsidR="0007177E" w:rsidRPr="00410865" w:rsidRDefault="00211E5D" w:rsidP="00F06B71">
      <w:pPr>
        <w:rPr>
          <w:b/>
          <w:sz w:val="24"/>
          <w:szCs w:val="24"/>
        </w:rPr>
      </w:pPr>
      <w:r w:rsidRPr="002079E9">
        <w:rPr>
          <w:b/>
          <w:sz w:val="24"/>
          <w:szCs w:val="24"/>
        </w:rPr>
        <w:t xml:space="preserve">** Please note that a copy of your data collection sheet is required and should be uploaded to the section 2.0 on the justification </w:t>
      </w:r>
      <w:proofErr w:type="spellStart"/>
      <w:r w:rsidRPr="002079E9">
        <w:rPr>
          <w:b/>
          <w:sz w:val="24"/>
          <w:szCs w:val="24"/>
        </w:rPr>
        <w:t>smartform</w:t>
      </w:r>
      <w:proofErr w:type="spellEnd"/>
      <w:r w:rsidRPr="002079E9">
        <w:rPr>
          <w:b/>
          <w:sz w:val="24"/>
          <w:szCs w:val="24"/>
        </w:rPr>
        <w:t>.</w:t>
      </w:r>
    </w:p>
    <w:sectPr w:rsidR="0007177E" w:rsidRPr="00410865" w:rsidSect="00211E5D">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DA2C9" w14:textId="77777777" w:rsidR="009D5332" w:rsidRDefault="009D5332" w:rsidP="0081775D">
      <w:pPr>
        <w:spacing w:after="0" w:line="240" w:lineRule="auto"/>
      </w:pPr>
      <w:r>
        <w:separator/>
      </w:r>
    </w:p>
  </w:endnote>
  <w:endnote w:type="continuationSeparator" w:id="0">
    <w:p w14:paraId="588BF886" w14:textId="77777777" w:rsidR="009D5332" w:rsidRDefault="009D5332" w:rsidP="0081775D">
      <w:pPr>
        <w:spacing w:after="0" w:line="240" w:lineRule="auto"/>
      </w:pPr>
      <w:r>
        <w:continuationSeparator/>
      </w:r>
    </w:p>
  </w:endnote>
  <w:endnote w:type="continuationNotice" w:id="1">
    <w:p w14:paraId="3ED31DB2" w14:textId="77777777" w:rsidR="009D5332" w:rsidRDefault="009D5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19E0" w14:textId="65ACA0A7" w:rsidR="0081775D" w:rsidRPr="002661BD" w:rsidRDefault="0081775D" w:rsidP="0081775D">
    <w:pPr>
      <w:pStyle w:val="Footer"/>
      <w:jc w:val="right"/>
      <w:rPr>
        <w:i/>
      </w:rPr>
    </w:pPr>
    <w:r>
      <w:rPr>
        <w:i/>
      </w:rPr>
      <w:t xml:space="preserve">Page </w:t>
    </w:r>
    <w:r>
      <w:rPr>
        <w:i/>
      </w:rPr>
      <w:fldChar w:fldCharType="begin"/>
    </w:r>
    <w:r>
      <w:rPr>
        <w:i/>
      </w:rPr>
      <w:instrText xml:space="preserve"> PAGE   \* MERGEFORMAT </w:instrText>
    </w:r>
    <w:r>
      <w:rPr>
        <w:i/>
      </w:rPr>
      <w:fldChar w:fldCharType="separate"/>
    </w:r>
    <w:r w:rsidR="0013778F">
      <w:rPr>
        <w:i/>
        <w:noProof/>
      </w:rPr>
      <w:t>3</w:t>
    </w:r>
    <w:r>
      <w:rPr>
        <w:i/>
      </w:rPr>
      <w:fldChar w:fldCharType="end"/>
    </w:r>
    <w:r>
      <w:rPr>
        <w:i/>
      </w:rPr>
      <w:t xml:space="preserve"> of </w:t>
    </w:r>
    <w:r>
      <w:rPr>
        <w:i/>
      </w:rPr>
      <w:fldChar w:fldCharType="begin"/>
    </w:r>
    <w:r>
      <w:rPr>
        <w:i/>
      </w:rPr>
      <w:instrText xml:space="preserve"> NUMPAGES   \* MERGEFORMAT </w:instrText>
    </w:r>
    <w:r>
      <w:rPr>
        <w:i/>
      </w:rPr>
      <w:fldChar w:fldCharType="separate"/>
    </w:r>
    <w:r w:rsidR="0013778F">
      <w:rPr>
        <w:i/>
        <w:noProof/>
      </w:rPr>
      <w:t>6</w:t>
    </w:r>
    <w:r>
      <w:rPr>
        <w:i/>
      </w:rPr>
      <w:fldChar w:fldCharType="end"/>
    </w:r>
    <w:r>
      <w:rPr>
        <w:i/>
      </w:rPr>
      <w:t xml:space="preserve">: </w:t>
    </w:r>
    <w:r w:rsidRPr="002661BD">
      <w:rPr>
        <w:i/>
      </w:rPr>
      <w:t xml:space="preserve">Version dated: </w:t>
    </w:r>
    <w:r w:rsidRPr="002661BD">
      <w:rPr>
        <w:i/>
      </w:rPr>
      <w:fldChar w:fldCharType="begin"/>
    </w:r>
    <w:r w:rsidRPr="002661BD">
      <w:rPr>
        <w:i/>
      </w:rPr>
      <w:instrText xml:space="preserve"> DATE  \@ "d-MMM-yy"  \* MERGEFORMAT </w:instrText>
    </w:r>
    <w:r w:rsidRPr="002661BD">
      <w:rPr>
        <w:i/>
      </w:rPr>
      <w:fldChar w:fldCharType="separate"/>
    </w:r>
    <w:r w:rsidR="00792A84">
      <w:rPr>
        <w:i/>
        <w:noProof/>
      </w:rPr>
      <w:t>11-Mar-21</w:t>
    </w:r>
    <w:r w:rsidRPr="002661BD">
      <w:rPr>
        <w:i/>
      </w:rPr>
      <w:fldChar w:fldCharType="end"/>
    </w:r>
  </w:p>
  <w:p w14:paraId="281E33CA" w14:textId="77777777" w:rsidR="0081775D" w:rsidRDefault="0081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5E088" w14:textId="77777777" w:rsidR="009D5332" w:rsidRDefault="009D5332" w:rsidP="0081775D">
      <w:pPr>
        <w:spacing w:after="0" w:line="240" w:lineRule="auto"/>
      </w:pPr>
      <w:r>
        <w:separator/>
      </w:r>
    </w:p>
  </w:footnote>
  <w:footnote w:type="continuationSeparator" w:id="0">
    <w:p w14:paraId="26F41EAE" w14:textId="77777777" w:rsidR="009D5332" w:rsidRDefault="009D5332" w:rsidP="0081775D">
      <w:pPr>
        <w:spacing w:after="0" w:line="240" w:lineRule="auto"/>
      </w:pPr>
      <w:r>
        <w:continuationSeparator/>
      </w:r>
    </w:p>
  </w:footnote>
  <w:footnote w:type="continuationNotice" w:id="1">
    <w:p w14:paraId="704F559C" w14:textId="77777777" w:rsidR="009D5332" w:rsidRDefault="009D53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E086" w14:textId="77777777" w:rsidR="001E4FDE" w:rsidRDefault="001E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EC4"/>
    <w:multiLevelType w:val="hybridMultilevel"/>
    <w:tmpl w:val="AF422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246F0"/>
    <w:multiLevelType w:val="hybridMultilevel"/>
    <w:tmpl w:val="7596594E"/>
    <w:lvl w:ilvl="0" w:tplc="E33E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147B04"/>
    <w:multiLevelType w:val="hybridMultilevel"/>
    <w:tmpl w:val="4DCC1500"/>
    <w:lvl w:ilvl="0" w:tplc="D42879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C4FEC"/>
    <w:multiLevelType w:val="hybridMultilevel"/>
    <w:tmpl w:val="ADD8B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B87576"/>
    <w:multiLevelType w:val="hybridMultilevel"/>
    <w:tmpl w:val="E6C0FAD0"/>
    <w:lvl w:ilvl="0" w:tplc="2A708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B79D3"/>
    <w:multiLevelType w:val="hybridMultilevel"/>
    <w:tmpl w:val="D22A2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F1940"/>
    <w:multiLevelType w:val="hybridMultilevel"/>
    <w:tmpl w:val="CF78D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3E69EA"/>
    <w:multiLevelType w:val="multilevel"/>
    <w:tmpl w:val="0DAA86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71"/>
    <w:rsid w:val="00002668"/>
    <w:rsid w:val="00020242"/>
    <w:rsid w:val="000537C6"/>
    <w:rsid w:val="000559FE"/>
    <w:rsid w:val="0007177E"/>
    <w:rsid w:val="00080860"/>
    <w:rsid w:val="000A78D9"/>
    <w:rsid w:val="000E6F44"/>
    <w:rsid w:val="000F60EF"/>
    <w:rsid w:val="0013778F"/>
    <w:rsid w:val="001E4FDE"/>
    <w:rsid w:val="002079E9"/>
    <w:rsid w:val="00211E5D"/>
    <w:rsid w:val="002B6EB1"/>
    <w:rsid w:val="002D1B67"/>
    <w:rsid w:val="002D4140"/>
    <w:rsid w:val="003247F6"/>
    <w:rsid w:val="003256E7"/>
    <w:rsid w:val="0033640C"/>
    <w:rsid w:val="003919DF"/>
    <w:rsid w:val="003A4710"/>
    <w:rsid w:val="003B08BA"/>
    <w:rsid w:val="003B71BB"/>
    <w:rsid w:val="003F7A75"/>
    <w:rsid w:val="00410865"/>
    <w:rsid w:val="00491465"/>
    <w:rsid w:val="004F53DA"/>
    <w:rsid w:val="00536455"/>
    <w:rsid w:val="005568A1"/>
    <w:rsid w:val="005A2843"/>
    <w:rsid w:val="005B57B0"/>
    <w:rsid w:val="005C0796"/>
    <w:rsid w:val="006557E3"/>
    <w:rsid w:val="00660F42"/>
    <w:rsid w:val="006672CE"/>
    <w:rsid w:val="00673C5F"/>
    <w:rsid w:val="007472ED"/>
    <w:rsid w:val="0075709F"/>
    <w:rsid w:val="007718D2"/>
    <w:rsid w:val="00792A84"/>
    <w:rsid w:val="007F099C"/>
    <w:rsid w:val="008108DB"/>
    <w:rsid w:val="0081775D"/>
    <w:rsid w:val="00835C7F"/>
    <w:rsid w:val="00896731"/>
    <w:rsid w:val="008B46B1"/>
    <w:rsid w:val="00932F96"/>
    <w:rsid w:val="009469E6"/>
    <w:rsid w:val="00971283"/>
    <w:rsid w:val="00990730"/>
    <w:rsid w:val="009C203B"/>
    <w:rsid w:val="009D5332"/>
    <w:rsid w:val="009E7A10"/>
    <w:rsid w:val="00B434FB"/>
    <w:rsid w:val="00B90384"/>
    <w:rsid w:val="00B940AD"/>
    <w:rsid w:val="00B95056"/>
    <w:rsid w:val="00BB5654"/>
    <w:rsid w:val="00BC0DF7"/>
    <w:rsid w:val="00C04ED3"/>
    <w:rsid w:val="00C37EA2"/>
    <w:rsid w:val="00C40041"/>
    <w:rsid w:val="00C511CF"/>
    <w:rsid w:val="00C5611C"/>
    <w:rsid w:val="00CB7D67"/>
    <w:rsid w:val="00CC469B"/>
    <w:rsid w:val="00CD70EA"/>
    <w:rsid w:val="00D20F1C"/>
    <w:rsid w:val="00D844E5"/>
    <w:rsid w:val="00DC27D6"/>
    <w:rsid w:val="00E236D3"/>
    <w:rsid w:val="00E5024F"/>
    <w:rsid w:val="00E766E4"/>
    <w:rsid w:val="00EE4B3C"/>
    <w:rsid w:val="00F06B71"/>
    <w:rsid w:val="00F20B0D"/>
    <w:rsid w:val="00F24386"/>
    <w:rsid w:val="00F50D4F"/>
    <w:rsid w:val="00F5523B"/>
    <w:rsid w:val="00FB75F3"/>
    <w:rsid w:val="00FC5CED"/>
    <w:rsid w:val="00F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320C"/>
  <w15:docId w15:val="{EA027C5E-01CE-456B-8FCF-498917D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34FB"/>
    <w:rPr>
      <w:sz w:val="16"/>
      <w:szCs w:val="16"/>
    </w:rPr>
  </w:style>
  <w:style w:type="paragraph" w:styleId="CommentText">
    <w:name w:val="annotation text"/>
    <w:basedOn w:val="Normal"/>
    <w:link w:val="CommentTextChar"/>
    <w:uiPriority w:val="99"/>
    <w:semiHidden/>
    <w:unhideWhenUsed/>
    <w:rsid w:val="00B434FB"/>
    <w:pPr>
      <w:spacing w:line="240" w:lineRule="auto"/>
    </w:pPr>
    <w:rPr>
      <w:sz w:val="20"/>
      <w:szCs w:val="20"/>
    </w:rPr>
  </w:style>
  <w:style w:type="character" w:customStyle="1" w:styleId="CommentTextChar">
    <w:name w:val="Comment Text Char"/>
    <w:basedOn w:val="DefaultParagraphFont"/>
    <w:link w:val="CommentText"/>
    <w:uiPriority w:val="99"/>
    <w:semiHidden/>
    <w:rsid w:val="00B434FB"/>
    <w:rPr>
      <w:sz w:val="20"/>
      <w:szCs w:val="20"/>
    </w:rPr>
  </w:style>
  <w:style w:type="paragraph" w:styleId="CommentSubject">
    <w:name w:val="annotation subject"/>
    <w:basedOn w:val="CommentText"/>
    <w:next w:val="CommentText"/>
    <w:link w:val="CommentSubjectChar"/>
    <w:uiPriority w:val="99"/>
    <w:semiHidden/>
    <w:unhideWhenUsed/>
    <w:rsid w:val="00B434FB"/>
    <w:rPr>
      <w:b/>
      <w:bCs/>
    </w:rPr>
  </w:style>
  <w:style w:type="character" w:customStyle="1" w:styleId="CommentSubjectChar">
    <w:name w:val="Comment Subject Char"/>
    <w:basedOn w:val="CommentTextChar"/>
    <w:link w:val="CommentSubject"/>
    <w:uiPriority w:val="99"/>
    <w:semiHidden/>
    <w:rsid w:val="00B434FB"/>
    <w:rPr>
      <w:b/>
      <w:bCs/>
      <w:sz w:val="20"/>
      <w:szCs w:val="20"/>
    </w:rPr>
  </w:style>
  <w:style w:type="paragraph" w:styleId="BalloonText">
    <w:name w:val="Balloon Text"/>
    <w:basedOn w:val="Normal"/>
    <w:link w:val="BalloonTextChar"/>
    <w:uiPriority w:val="99"/>
    <w:semiHidden/>
    <w:unhideWhenUsed/>
    <w:rsid w:val="00B4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4FB"/>
    <w:rPr>
      <w:rFonts w:ascii="Tahoma" w:hAnsi="Tahoma" w:cs="Tahoma"/>
      <w:sz w:val="16"/>
      <w:szCs w:val="16"/>
    </w:rPr>
  </w:style>
  <w:style w:type="paragraph" w:styleId="ListParagraph">
    <w:name w:val="List Paragraph"/>
    <w:basedOn w:val="Normal"/>
    <w:uiPriority w:val="34"/>
    <w:qFormat/>
    <w:rsid w:val="003A4710"/>
    <w:pPr>
      <w:ind w:left="720"/>
      <w:contextualSpacing/>
    </w:pPr>
  </w:style>
  <w:style w:type="paragraph" w:styleId="NoSpacing">
    <w:name w:val="No Spacing"/>
    <w:uiPriority w:val="1"/>
    <w:qFormat/>
    <w:rsid w:val="000537C6"/>
    <w:pPr>
      <w:spacing w:after="0" w:line="240" w:lineRule="auto"/>
    </w:pPr>
  </w:style>
  <w:style w:type="character" w:styleId="Strong">
    <w:name w:val="Strong"/>
    <w:basedOn w:val="DefaultParagraphFont"/>
    <w:uiPriority w:val="22"/>
    <w:qFormat/>
    <w:rsid w:val="00CB7D67"/>
    <w:rPr>
      <w:b/>
      <w:bCs/>
    </w:rPr>
  </w:style>
  <w:style w:type="character" w:customStyle="1" w:styleId="printquestion2">
    <w:name w:val="printquestion2"/>
    <w:basedOn w:val="DefaultParagraphFont"/>
    <w:rsid w:val="00CB7D67"/>
  </w:style>
  <w:style w:type="character" w:customStyle="1" w:styleId="sr-only1">
    <w:name w:val="sr-only1"/>
    <w:basedOn w:val="DefaultParagraphFont"/>
    <w:rsid w:val="00CB7D67"/>
    <w:rPr>
      <w:bdr w:val="none" w:sz="0" w:space="0" w:color="auto" w:frame="1"/>
    </w:rPr>
  </w:style>
  <w:style w:type="paragraph" w:styleId="Header">
    <w:name w:val="header"/>
    <w:basedOn w:val="Normal"/>
    <w:link w:val="HeaderChar"/>
    <w:uiPriority w:val="99"/>
    <w:unhideWhenUsed/>
    <w:rsid w:val="0081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5D"/>
  </w:style>
  <w:style w:type="paragraph" w:styleId="Footer">
    <w:name w:val="footer"/>
    <w:basedOn w:val="Normal"/>
    <w:link w:val="FooterChar"/>
    <w:uiPriority w:val="99"/>
    <w:unhideWhenUsed/>
    <w:rsid w:val="0081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5D"/>
  </w:style>
  <w:style w:type="paragraph" w:styleId="Revision">
    <w:name w:val="Revision"/>
    <w:hidden/>
    <w:uiPriority w:val="99"/>
    <w:semiHidden/>
    <w:rsid w:val="009469E6"/>
    <w:pPr>
      <w:spacing w:after="0" w:line="240" w:lineRule="auto"/>
    </w:pPr>
  </w:style>
  <w:style w:type="character" w:styleId="Hyperlink">
    <w:name w:val="Hyperlink"/>
    <w:basedOn w:val="DefaultParagraphFont"/>
    <w:uiPriority w:val="99"/>
    <w:unhideWhenUsed/>
    <w:rsid w:val="00792A84"/>
    <w:rPr>
      <w:color w:val="0000FF" w:themeColor="hyperlink"/>
      <w:u w:val="single"/>
    </w:rPr>
  </w:style>
  <w:style w:type="character" w:styleId="UnresolvedMention">
    <w:name w:val="Unresolved Mention"/>
    <w:basedOn w:val="DefaultParagraphFont"/>
    <w:uiPriority w:val="99"/>
    <w:semiHidden/>
    <w:unhideWhenUsed/>
    <w:rsid w:val="0079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9662">
      <w:bodyDiv w:val="1"/>
      <w:marLeft w:val="0"/>
      <w:marRight w:val="0"/>
      <w:marTop w:val="0"/>
      <w:marBottom w:val="0"/>
      <w:divBdr>
        <w:top w:val="none" w:sz="0" w:space="0" w:color="auto"/>
        <w:left w:val="none" w:sz="0" w:space="0" w:color="auto"/>
        <w:bottom w:val="none" w:sz="0" w:space="0" w:color="auto"/>
        <w:right w:val="none" w:sz="0" w:space="0" w:color="auto"/>
      </w:divBdr>
      <w:divsChild>
        <w:div w:id="1833253559">
          <w:marLeft w:val="0"/>
          <w:marRight w:val="0"/>
          <w:marTop w:val="0"/>
          <w:marBottom w:val="0"/>
          <w:divBdr>
            <w:top w:val="none" w:sz="0" w:space="0" w:color="auto"/>
            <w:left w:val="none" w:sz="0" w:space="0" w:color="auto"/>
            <w:bottom w:val="none" w:sz="0" w:space="0" w:color="auto"/>
            <w:right w:val="none" w:sz="0" w:space="0" w:color="auto"/>
          </w:divBdr>
          <w:divsChild>
            <w:div w:id="216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9016">
      <w:bodyDiv w:val="1"/>
      <w:marLeft w:val="0"/>
      <w:marRight w:val="0"/>
      <w:marTop w:val="0"/>
      <w:marBottom w:val="0"/>
      <w:divBdr>
        <w:top w:val="none" w:sz="0" w:space="0" w:color="auto"/>
        <w:left w:val="none" w:sz="0" w:space="0" w:color="auto"/>
        <w:bottom w:val="none" w:sz="0" w:space="0" w:color="auto"/>
        <w:right w:val="none" w:sz="0" w:space="0" w:color="auto"/>
      </w:divBdr>
      <w:divsChild>
        <w:div w:id="1563634675">
          <w:marLeft w:val="0"/>
          <w:marRight w:val="0"/>
          <w:marTop w:val="0"/>
          <w:marBottom w:val="0"/>
          <w:divBdr>
            <w:top w:val="none" w:sz="0" w:space="0" w:color="auto"/>
            <w:left w:val="none" w:sz="0" w:space="0" w:color="auto"/>
            <w:bottom w:val="none" w:sz="0" w:space="0" w:color="auto"/>
            <w:right w:val="none" w:sz="0" w:space="0" w:color="auto"/>
          </w:divBdr>
          <w:divsChild>
            <w:div w:id="54089318">
              <w:marLeft w:val="0"/>
              <w:marRight w:val="0"/>
              <w:marTop w:val="0"/>
              <w:marBottom w:val="0"/>
              <w:divBdr>
                <w:top w:val="none" w:sz="0" w:space="0" w:color="auto"/>
                <w:left w:val="none" w:sz="0" w:space="0" w:color="auto"/>
                <w:bottom w:val="none" w:sz="0" w:space="0" w:color="auto"/>
                <w:right w:val="none" w:sz="0" w:space="0" w:color="auto"/>
              </w:divBdr>
            </w:div>
            <w:div w:id="9362574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9707773">
      <w:bodyDiv w:val="1"/>
      <w:marLeft w:val="0"/>
      <w:marRight w:val="0"/>
      <w:marTop w:val="0"/>
      <w:marBottom w:val="0"/>
      <w:divBdr>
        <w:top w:val="none" w:sz="0" w:space="0" w:color="auto"/>
        <w:left w:val="none" w:sz="0" w:space="0" w:color="auto"/>
        <w:bottom w:val="none" w:sz="0" w:space="0" w:color="auto"/>
        <w:right w:val="none" w:sz="0" w:space="0" w:color="auto"/>
      </w:divBdr>
      <w:divsChild>
        <w:div w:id="953025371">
          <w:marLeft w:val="0"/>
          <w:marRight w:val="0"/>
          <w:marTop w:val="0"/>
          <w:marBottom w:val="0"/>
          <w:divBdr>
            <w:top w:val="none" w:sz="0" w:space="0" w:color="auto"/>
            <w:left w:val="none" w:sz="0" w:space="0" w:color="auto"/>
            <w:bottom w:val="none" w:sz="0" w:space="0" w:color="auto"/>
            <w:right w:val="none" w:sz="0" w:space="0" w:color="auto"/>
          </w:divBdr>
          <w:divsChild>
            <w:div w:id="831022640">
              <w:marLeft w:val="0"/>
              <w:marRight w:val="0"/>
              <w:marTop w:val="0"/>
              <w:marBottom w:val="0"/>
              <w:divBdr>
                <w:top w:val="none" w:sz="0" w:space="0" w:color="auto"/>
                <w:left w:val="none" w:sz="0" w:space="0" w:color="auto"/>
                <w:bottom w:val="none" w:sz="0" w:space="0" w:color="auto"/>
                <w:right w:val="none" w:sz="0" w:space="0" w:color="auto"/>
              </w:divBdr>
            </w:div>
            <w:div w:id="1914271772">
              <w:marLeft w:val="150"/>
              <w:marRight w:val="150"/>
              <w:marTop w:val="0"/>
              <w:marBottom w:val="0"/>
              <w:divBdr>
                <w:top w:val="none" w:sz="0" w:space="0" w:color="auto"/>
                <w:left w:val="none" w:sz="0" w:space="0" w:color="auto"/>
                <w:bottom w:val="none" w:sz="0" w:space="0" w:color="auto"/>
                <w:right w:val="none" w:sz="0" w:space="0" w:color="auto"/>
              </w:divBdr>
            </w:div>
            <w:div w:id="11694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musc.edu/resources/sctr/about/success/recruitment/cold-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7013-E26A-43FC-90A3-765CE018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Haynes, Amy Eaddy</cp:lastModifiedBy>
  <cp:revision>2</cp:revision>
  <cp:lastPrinted>2019-03-06T19:00:00Z</cp:lastPrinted>
  <dcterms:created xsi:type="dcterms:W3CDTF">2021-03-11T18:05:00Z</dcterms:created>
  <dcterms:modified xsi:type="dcterms:W3CDTF">2021-03-11T18:05:00Z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724361905</vt:i4>
  </property>
  <property fmtid="{D5CDD505-2E9C-101B-9397-08002B2CF9AE}" pid="4" name="_EmailSubject">
    <vt:lpwstr>IRB Website - Update to Exempt Guidance Form</vt:lpwstr>
  </property>
  <property fmtid="{D5CDD505-2E9C-101B-9397-08002B2CF9AE}" pid="5" name="_AuthorEmail">
    <vt:lpwstr>goretzka@musc.edu</vt:lpwstr>
  </property>
  <property fmtid="{D5CDD505-2E9C-101B-9397-08002B2CF9AE}" pid="6" name="_AuthorEmailDisplayName">
    <vt:lpwstr>Goretzka, Stacey C</vt:lpwstr>
  </property>
</Properties>
</file>